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Default="0053153A" w:rsidP="000B12F4">
      <w:pPr>
        <w:pStyle w:val="Header"/>
        <w:spacing w:before="120"/>
        <w:jc w:val="center"/>
        <w:rPr>
          <w:rFonts w:ascii="Calibri" w:hAnsi="Calibri" w:cs="Arial"/>
          <w:b/>
          <w:bCs/>
          <w:noProof/>
          <w:sz w:val="32"/>
          <w:szCs w:val="32"/>
          <w:lang w:val="en-US"/>
        </w:rPr>
      </w:pPr>
      <w:r>
        <w:rPr>
          <w:rFonts w:cs="Arial"/>
          <w:b/>
          <w:bCs/>
          <w:noProof/>
          <w:sz w:val="32"/>
          <w:szCs w:val="32"/>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246ABD">
        <w:rPr>
          <w:rFonts w:ascii="Calibri" w:hAnsi="Calibri"/>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4582093" r:id="rId9"/>
        </w:object>
      </w:r>
      <w:r w:rsidR="00800E42" w:rsidRPr="00996C68">
        <w:rPr>
          <w:rFonts w:ascii="Calibri" w:hAnsi="Calibri" w:cs="Arial"/>
          <w:b/>
          <w:bCs/>
          <w:noProof/>
          <w:sz w:val="32"/>
          <w:szCs w:val="32"/>
        </w:rPr>
        <w:t>State of Kansas</w:t>
      </w:r>
    </w:p>
    <w:p w:rsidR="00800551" w:rsidRPr="00800551" w:rsidRDefault="00C93B12" w:rsidP="000B12F4">
      <w:pPr>
        <w:pStyle w:val="Header"/>
        <w:spacing w:before="120"/>
        <w:jc w:val="center"/>
        <w:rPr>
          <w:rFonts w:ascii="Verdana" w:hAnsi="Verdana" w:cs="Arial"/>
          <w:b/>
          <w:bCs/>
          <w:noProof/>
          <w:sz w:val="32"/>
          <w:szCs w:val="32"/>
          <w:lang w:val="en-US"/>
        </w:rPr>
      </w:pPr>
      <w:r>
        <w:rPr>
          <w:rFonts w:ascii="Verdana" w:hAnsi="Verdana" w:cs="Arial"/>
          <w:b/>
          <w:bCs/>
          <w:noProof/>
          <w:sz w:val="32"/>
          <w:szCs w:val="32"/>
          <w:lang w:val="en-US"/>
        </w:rPr>
        <w:t>Opening Closed Projects</w:t>
      </w:r>
    </w:p>
    <w:p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rsidTr="00161D65">
        <w:tc>
          <w:tcPr>
            <w:tcW w:w="3330" w:type="dxa"/>
          </w:tcPr>
          <w:p w:rsidR="00AF2E3C" w:rsidRPr="00800551" w:rsidRDefault="00AF2E3C" w:rsidP="00161D65">
            <w:pPr>
              <w:rPr>
                <w:rFonts w:ascii="Verdana" w:hAnsi="Verdana"/>
                <w:b/>
                <w:noProof/>
              </w:rPr>
            </w:pPr>
            <w:r w:rsidRPr="00800551">
              <w:rPr>
                <w:rFonts w:ascii="Verdana" w:hAnsi="Verdana"/>
                <w:b/>
                <w:noProof/>
              </w:rPr>
              <w:t>Date Created:</w:t>
            </w:r>
          </w:p>
        </w:tc>
        <w:tc>
          <w:tcPr>
            <w:tcW w:w="7128" w:type="dxa"/>
          </w:tcPr>
          <w:p w:rsidR="003738F2" w:rsidRPr="00800551" w:rsidRDefault="00C93B12" w:rsidP="00290E9D">
            <w:pPr>
              <w:rPr>
                <w:rFonts w:ascii="Verdana" w:hAnsi="Verdana"/>
              </w:rPr>
            </w:pPr>
            <w:r>
              <w:rPr>
                <w:rFonts w:ascii="Verdana" w:hAnsi="Verdana"/>
              </w:rPr>
              <w:t>03/01/2019</w:t>
            </w:r>
          </w:p>
        </w:tc>
      </w:tr>
      <w:tr w:rsidR="00AF2E3C" w:rsidRPr="00161D65" w:rsidTr="00161D65">
        <w:tc>
          <w:tcPr>
            <w:tcW w:w="3330" w:type="dxa"/>
          </w:tcPr>
          <w:p w:rsidR="00AF2E3C" w:rsidRPr="00800551" w:rsidRDefault="00AF2E3C" w:rsidP="00161D65">
            <w:pPr>
              <w:rPr>
                <w:rFonts w:ascii="Verdana" w:hAnsi="Verdana"/>
                <w:b/>
                <w:noProof/>
              </w:rPr>
            </w:pPr>
            <w:r w:rsidRPr="00800551">
              <w:rPr>
                <w:rFonts w:ascii="Verdana" w:hAnsi="Verdana"/>
                <w:b/>
                <w:noProof/>
              </w:rPr>
              <w:t>Version:</w:t>
            </w:r>
          </w:p>
        </w:tc>
        <w:tc>
          <w:tcPr>
            <w:tcW w:w="7128" w:type="dxa"/>
          </w:tcPr>
          <w:p w:rsidR="00AF2E3C" w:rsidRPr="00800551" w:rsidRDefault="00800551" w:rsidP="00EE1A38">
            <w:pPr>
              <w:rPr>
                <w:rFonts w:ascii="Verdana" w:hAnsi="Verdana"/>
              </w:rPr>
            </w:pPr>
            <w:r w:rsidRPr="00800551">
              <w:rPr>
                <w:rFonts w:ascii="Verdana" w:hAnsi="Verdana"/>
              </w:rPr>
              <w:t>1.1</w:t>
            </w:r>
          </w:p>
        </w:tc>
      </w:tr>
      <w:tr w:rsidR="003738F2" w:rsidRPr="00161D65" w:rsidTr="00161D65">
        <w:tc>
          <w:tcPr>
            <w:tcW w:w="3330" w:type="dxa"/>
          </w:tcPr>
          <w:p w:rsidR="003738F2" w:rsidRPr="00800551" w:rsidRDefault="003738F2" w:rsidP="00161D65">
            <w:pPr>
              <w:rPr>
                <w:rFonts w:ascii="Verdana" w:hAnsi="Verdana"/>
                <w:b/>
                <w:noProof/>
              </w:rPr>
            </w:pPr>
            <w:r w:rsidRPr="00800551">
              <w:rPr>
                <w:rFonts w:ascii="Verdana" w:hAnsi="Verdana"/>
                <w:b/>
                <w:noProof/>
              </w:rPr>
              <w:t>Last Updated Date:</w:t>
            </w:r>
          </w:p>
        </w:tc>
        <w:tc>
          <w:tcPr>
            <w:tcW w:w="7128" w:type="dxa"/>
          </w:tcPr>
          <w:p w:rsidR="003738F2" w:rsidRPr="00800551" w:rsidRDefault="00C93B12" w:rsidP="00254DE3">
            <w:pPr>
              <w:rPr>
                <w:rFonts w:ascii="Verdana" w:hAnsi="Verdana"/>
              </w:rPr>
            </w:pPr>
            <w:r>
              <w:rPr>
                <w:rFonts w:ascii="Verdana" w:hAnsi="Verdana"/>
              </w:rPr>
              <w:t>03/01/2019</w:t>
            </w:r>
          </w:p>
        </w:tc>
      </w:tr>
      <w:tr w:rsidR="000B12F4" w:rsidRPr="00161D65" w:rsidTr="00161D65">
        <w:tc>
          <w:tcPr>
            <w:tcW w:w="3330" w:type="dxa"/>
          </w:tcPr>
          <w:p w:rsidR="000B12F4" w:rsidRPr="00800551" w:rsidRDefault="006105D7" w:rsidP="00C268F6">
            <w:pPr>
              <w:rPr>
                <w:rFonts w:ascii="Verdana" w:hAnsi="Verdana"/>
                <w:b/>
                <w:noProof/>
              </w:rPr>
            </w:pPr>
            <w:r w:rsidRPr="00800551">
              <w:rPr>
                <w:rFonts w:ascii="Verdana" w:hAnsi="Verdana"/>
                <w:b/>
                <w:noProof/>
              </w:rPr>
              <w:t>Process</w:t>
            </w:r>
            <w:r w:rsidR="00800551" w:rsidRPr="00800551">
              <w:rPr>
                <w:rFonts w:ascii="Verdana" w:hAnsi="Verdana"/>
                <w:b/>
                <w:noProof/>
              </w:rPr>
              <w:t xml:space="preserve">:  </w:t>
            </w:r>
          </w:p>
        </w:tc>
        <w:tc>
          <w:tcPr>
            <w:tcW w:w="7128" w:type="dxa"/>
          </w:tcPr>
          <w:p w:rsidR="000B12F4" w:rsidRPr="00C93B12" w:rsidRDefault="00C93B12" w:rsidP="00800551">
            <w:pPr>
              <w:rPr>
                <w:rFonts w:ascii="Verdana" w:hAnsi="Verdana"/>
              </w:rPr>
            </w:pPr>
            <w:r w:rsidRPr="00C93B12">
              <w:rPr>
                <w:rFonts w:ascii="Verdana" w:hAnsi="Verdana"/>
              </w:rPr>
              <w:t xml:space="preserve">Projects can be changed between any status at any time by someone with the Agency Projects Manager role. So, if a project was Closed by mistake and needs to be re-opened, the agency has access to do this. </w:t>
            </w:r>
          </w:p>
        </w:tc>
      </w:tr>
      <w:tr w:rsidR="000B12F4" w:rsidRPr="00161D65" w:rsidTr="009A26F3">
        <w:trPr>
          <w:trHeight w:val="125"/>
        </w:trPr>
        <w:tc>
          <w:tcPr>
            <w:tcW w:w="3330" w:type="dxa"/>
          </w:tcPr>
          <w:p w:rsidR="000B12F4" w:rsidRPr="00800551" w:rsidRDefault="000B12F4" w:rsidP="0001126C">
            <w:pPr>
              <w:rPr>
                <w:rFonts w:ascii="Verdana" w:hAnsi="Verdana"/>
                <w:b/>
                <w:noProof/>
              </w:rPr>
            </w:pPr>
          </w:p>
        </w:tc>
        <w:tc>
          <w:tcPr>
            <w:tcW w:w="7128" w:type="dxa"/>
          </w:tcPr>
          <w:p w:rsidR="000B12F4" w:rsidRPr="00800551" w:rsidRDefault="000B12F4" w:rsidP="00800551">
            <w:pPr>
              <w:rPr>
                <w:rFonts w:ascii="Verdana" w:hAnsi="Verdana"/>
                <w:noProof/>
              </w:rPr>
            </w:pPr>
          </w:p>
        </w:tc>
      </w:tr>
      <w:tr w:rsidR="000B12F4" w:rsidRPr="00161D65" w:rsidTr="00161D65">
        <w:tc>
          <w:tcPr>
            <w:tcW w:w="3330" w:type="dxa"/>
          </w:tcPr>
          <w:p w:rsidR="00C93B12" w:rsidRPr="00C93B12" w:rsidRDefault="00C93B12" w:rsidP="00C93B12">
            <w:pPr>
              <w:rPr>
                <w:rFonts w:ascii="Verdana" w:hAnsi="Verdana"/>
              </w:rPr>
            </w:pPr>
            <w:r>
              <w:rPr>
                <w:rFonts w:ascii="Verdana" w:hAnsi="Verdana"/>
                <w:noProof/>
              </w:rPr>
              <w:t>Step 1.  Navigation:  Projects and Grants Homepage &gt; Project Costing &gt; Proje</w:t>
            </w:r>
            <w:r w:rsidR="00596DD8">
              <w:rPr>
                <w:rFonts w:ascii="Verdana" w:hAnsi="Verdana"/>
                <w:noProof/>
              </w:rPr>
              <w:t xml:space="preserve">ct Setup &gt; General Information </w:t>
            </w:r>
            <w:r w:rsidR="00596DD8">
              <w:rPr>
                <w:rFonts w:ascii="Verdana" w:hAnsi="Verdana"/>
                <w:b/>
                <w:noProof/>
              </w:rPr>
              <w:t xml:space="preserve">or </w:t>
            </w:r>
            <w:r w:rsidR="00596DD8">
              <w:rPr>
                <w:rFonts w:ascii="Verdana" w:hAnsi="Verdana"/>
                <w:noProof/>
              </w:rPr>
              <w:t>Navigator &gt; Project Costing &gt; Project Definitions &gt; General Information.</w:t>
            </w:r>
            <w:r>
              <w:rPr>
                <w:rFonts w:ascii="Verdana" w:hAnsi="Verdana"/>
                <w:noProof/>
              </w:rPr>
              <w:t xml:space="preserve"> </w:t>
            </w:r>
            <w:r w:rsidRPr="00C93B12">
              <w:rPr>
                <w:rFonts w:ascii="Verdana" w:hAnsi="Verdana"/>
              </w:rPr>
              <w:t>Search for the Project ID you wish to re-open. Once you are on the project’s General Information tab, click on the Project</w:t>
            </w:r>
            <w:r w:rsidR="002710BD">
              <w:rPr>
                <w:rFonts w:ascii="Verdana" w:hAnsi="Verdana"/>
              </w:rPr>
              <w:t xml:space="preserve"> Status link that says “Closed”.</w:t>
            </w:r>
          </w:p>
          <w:p w:rsidR="000B12F4" w:rsidRPr="00C93B12" w:rsidRDefault="000B12F4" w:rsidP="000A7AED">
            <w:pPr>
              <w:rPr>
                <w:rFonts w:ascii="Verdana" w:hAnsi="Verdana"/>
                <w:noProof/>
              </w:rPr>
            </w:pPr>
          </w:p>
        </w:tc>
        <w:tc>
          <w:tcPr>
            <w:tcW w:w="7128" w:type="dxa"/>
          </w:tcPr>
          <w:p w:rsidR="000B12F4" w:rsidRPr="00800551" w:rsidRDefault="00C93B12" w:rsidP="00800551">
            <w:pPr>
              <w:rPr>
                <w:rFonts w:ascii="Verdana" w:hAnsi="Verdana"/>
                <w:noProof/>
              </w:rPr>
            </w:pPr>
            <w:r>
              <w:rPr>
                <w:noProof/>
              </w:rPr>
              <w:drawing>
                <wp:inline distT="0" distB="0" distL="0" distR="0" wp14:anchorId="2FF252D5" wp14:editId="27F3D415">
                  <wp:extent cx="4389120" cy="2070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9120" cy="2070735"/>
                          </a:xfrm>
                          <a:prstGeom prst="rect">
                            <a:avLst/>
                          </a:prstGeom>
                        </pic:spPr>
                      </pic:pic>
                    </a:graphicData>
                  </a:graphic>
                </wp:inline>
              </w:drawing>
            </w:r>
          </w:p>
        </w:tc>
      </w:tr>
      <w:tr w:rsidR="000A7AED" w:rsidRPr="00161D65" w:rsidTr="009A26F3">
        <w:trPr>
          <w:trHeight w:val="170"/>
        </w:trPr>
        <w:tc>
          <w:tcPr>
            <w:tcW w:w="3330" w:type="dxa"/>
          </w:tcPr>
          <w:p w:rsidR="000A7AED" w:rsidRDefault="000A7AED" w:rsidP="000A7AED">
            <w:pPr>
              <w:rPr>
                <w:rFonts w:ascii="Verdana" w:hAnsi="Verdana"/>
                <w:b/>
                <w:noProof/>
              </w:rPr>
            </w:pPr>
          </w:p>
        </w:tc>
        <w:tc>
          <w:tcPr>
            <w:tcW w:w="7128" w:type="dxa"/>
          </w:tcPr>
          <w:p w:rsidR="000A7AED" w:rsidRPr="0096757B" w:rsidRDefault="000A7AED" w:rsidP="00800551">
            <w:pPr>
              <w:rPr>
                <w:noProof/>
              </w:rPr>
            </w:pPr>
          </w:p>
        </w:tc>
      </w:tr>
      <w:tr w:rsidR="000A7AED" w:rsidRPr="00161D65" w:rsidTr="00161D65">
        <w:tc>
          <w:tcPr>
            <w:tcW w:w="3330" w:type="dxa"/>
          </w:tcPr>
          <w:p w:rsidR="002710BD" w:rsidRDefault="00C93B12" w:rsidP="002710BD">
            <w:r>
              <w:rPr>
                <w:rFonts w:ascii="Verdana" w:hAnsi="Verdana"/>
                <w:noProof/>
              </w:rPr>
              <w:lastRenderedPageBreak/>
              <w:t xml:space="preserve">Step 2. </w:t>
            </w:r>
            <w:r w:rsidR="002710BD" w:rsidRPr="002710BD">
              <w:rPr>
                <w:rFonts w:ascii="Verdana" w:hAnsi="Verdana"/>
              </w:rPr>
              <w:t xml:space="preserve">This </w:t>
            </w:r>
            <w:r w:rsidR="00246ABD">
              <w:rPr>
                <w:rFonts w:ascii="Verdana" w:hAnsi="Verdana"/>
              </w:rPr>
              <w:t>land on</w:t>
            </w:r>
            <w:bookmarkStart w:id="0" w:name="_GoBack"/>
            <w:bookmarkEnd w:id="0"/>
            <w:r w:rsidR="002710BD" w:rsidRPr="002710BD">
              <w:rPr>
                <w:rFonts w:ascii="Verdana" w:hAnsi="Verdana"/>
              </w:rPr>
              <w:t xml:space="preserve"> the Status page where you can add a new effective-dated row to change the project status from Closed to Open by clicking the Plus button</w:t>
            </w:r>
            <w:r w:rsidR="002710BD">
              <w:t>.</w:t>
            </w:r>
          </w:p>
          <w:p w:rsidR="002710BD" w:rsidRDefault="002710BD" w:rsidP="002710BD"/>
          <w:p w:rsidR="002710BD" w:rsidRPr="002710BD" w:rsidRDefault="002710BD" w:rsidP="002710BD">
            <w:pPr>
              <w:rPr>
                <w:rFonts w:ascii="Verdana" w:hAnsi="Verdana"/>
              </w:rPr>
            </w:pPr>
            <w:r>
              <w:rPr>
                <w:rFonts w:ascii="Verdana" w:hAnsi="Verdana"/>
              </w:rPr>
              <w:t>Note:  Click the Include History button.  There are 2 existing rows, 1 for the original “Open” status and 1 for the change to “Closed”.</w:t>
            </w:r>
          </w:p>
          <w:p w:rsidR="000A7AED" w:rsidRPr="000A7AED" w:rsidRDefault="00C93B12" w:rsidP="002710BD">
            <w:pPr>
              <w:rPr>
                <w:rFonts w:ascii="Verdana" w:hAnsi="Verdana"/>
                <w:noProof/>
              </w:rPr>
            </w:pPr>
            <w:r>
              <w:rPr>
                <w:rFonts w:ascii="Verdana" w:hAnsi="Verdana"/>
                <w:noProof/>
              </w:rPr>
              <w:t xml:space="preserve"> </w:t>
            </w:r>
          </w:p>
        </w:tc>
        <w:tc>
          <w:tcPr>
            <w:tcW w:w="7128" w:type="dxa"/>
          </w:tcPr>
          <w:p w:rsidR="000A7AED" w:rsidRPr="0096757B" w:rsidRDefault="005D3CFA" w:rsidP="00800551">
            <w:pPr>
              <w:rPr>
                <w:noProof/>
              </w:rPr>
            </w:pPr>
            <w:r>
              <w:rPr>
                <w:noProof/>
              </w:rPr>
              <w:drawing>
                <wp:inline distT="0" distB="0" distL="0" distR="0" wp14:anchorId="7479C56C" wp14:editId="510FC7BE">
                  <wp:extent cx="3302195" cy="273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3182" cy="2784162"/>
                          </a:xfrm>
                          <a:prstGeom prst="rect">
                            <a:avLst/>
                          </a:prstGeom>
                        </pic:spPr>
                      </pic:pic>
                    </a:graphicData>
                  </a:graphic>
                </wp:inline>
              </w:drawing>
            </w:r>
          </w:p>
        </w:tc>
      </w:tr>
      <w:tr w:rsidR="005D69D6" w:rsidRPr="00161D65" w:rsidTr="00161D65">
        <w:tc>
          <w:tcPr>
            <w:tcW w:w="3330" w:type="dxa"/>
          </w:tcPr>
          <w:p w:rsidR="005D69D6" w:rsidRPr="000A7AED" w:rsidRDefault="005D69D6" w:rsidP="005D69D6">
            <w:pPr>
              <w:rPr>
                <w:rFonts w:ascii="Verdana" w:hAnsi="Verdana"/>
                <w:noProof/>
              </w:rPr>
            </w:pPr>
          </w:p>
        </w:tc>
        <w:tc>
          <w:tcPr>
            <w:tcW w:w="7128" w:type="dxa"/>
          </w:tcPr>
          <w:p w:rsidR="005D69D6" w:rsidRPr="0096757B" w:rsidRDefault="005D69D6" w:rsidP="00800551">
            <w:pPr>
              <w:rPr>
                <w:noProof/>
              </w:rPr>
            </w:pPr>
          </w:p>
        </w:tc>
      </w:tr>
      <w:tr w:rsidR="005D69D6" w:rsidRPr="00161D65" w:rsidTr="00161D65">
        <w:tc>
          <w:tcPr>
            <w:tcW w:w="3330" w:type="dxa"/>
          </w:tcPr>
          <w:p w:rsidR="005D3CFA" w:rsidRPr="005D3CFA" w:rsidRDefault="005D3CFA" w:rsidP="005D3CFA">
            <w:pPr>
              <w:rPr>
                <w:rFonts w:ascii="Verdana" w:hAnsi="Verdana"/>
              </w:rPr>
            </w:pPr>
            <w:r>
              <w:rPr>
                <w:rFonts w:ascii="Verdana" w:hAnsi="Verdana"/>
                <w:noProof/>
              </w:rPr>
              <w:t xml:space="preserve">Step 3.  </w:t>
            </w:r>
            <w:r w:rsidR="00A8523E">
              <w:rPr>
                <w:rFonts w:ascii="Verdana" w:hAnsi="Verdana"/>
              </w:rPr>
              <w:t>Clicking the plus button.  Change Status</w:t>
            </w:r>
            <w:r>
              <w:rPr>
                <w:rFonts w:ascii="Verdana" w:hAnsi="Verdana"/>
              </w:rPr>
              <w:t xml:space="preserve"> to ‘O’ for Open.  </w:t>
            </w:r>
            <w:r w:rsidR="00A8523E">
              <w:rPr>
                <w:rFonts w:ascii="Verdana" w:hAnsi="Verdana"/>
              </w:rPr>
              <w:t>Enter the Effective Date, after consideration of the notes below.  Click Save.</w:t>
            </w:r>
          </w:p>
          <w:p w:rsidR="005D69D6" w:rsidRDefault="005D69D6" w:rsidP="00C77DAD">
            <w:pPr>
              <w:rPr>
                <w:rFonts w:ascii="Verdana" w:hAnsi="Verdana"/>
                <w:noProof/>
              </w:rPr>
            </w:pPr>
          </w:p>
          <w:p w:rsidR="005D3CFA" w:rsidRPr="005D3CFA" w:rsidRDefault="005D3CFA" w:rsidP="005D3CFA">
            <w:pPr>
              <w:rPr>
                <w:rFonts w:ascii="Verdana" w:hAnsi="Verdana"/>
              </w:rPr>
            </w:pPr>
            <w:r>
              <w:rPr>
                <w:rFonts w:ascii="Verdana" w:hAnsi="Verdana"/>
                <w:noProof/>
              </w:rPr>
              <w:t xml:space="preserve">Note:  </w:t>
            </w:r>
            <w:r w:rsidRPr="005D3CFA">
              <w:rPr>
                <w:rFonts w:ascii="Verdana" w:hAnsi="Verdana"/>
              </w:rPr>
              <w:t xml:space="preserve">If you are re-opening the project so pending transactions may post, then you will need to change the Effective Date field on the Status page to reflect the earliest Transaction Date that needs to post. </w:t>
            </w:r>
          </w:p>
          <w:p w:rsidR="005D3CFA" w:rsidRPr="005D3CFA" w:rsidRDefault="005D3CFA" w:rsidP="005D3CFA">
            <w:pPr>
              <w:rPr>
                <w:rFonts w:ascii="Verdana" w:hAnsi="Verdana"/>
              </w:rPr>
            </w:pPr>
          </w:p>
          <w:p w:rsidR="005D3CFA" w:rsidRPr="000A7AED" w:rsidRDefault="005D3CFA" w:rsidP="00C77DAD">
            <w:pPr>
              <w:rPr>
                <w:rFonts w:ascii="Verdana" w:hAnsi="Verdana"/>
              </w:rPr>
            </w:pPr>
            <w:r w:rsidRPr="005D3CFA">
              <w:rPr>
                <w:rFonts w:ascii="Verdana" w:hAnsi="Verdana"/>
              </w:rPr>
              <w:t xml:space="preserve">To prevent potentially creating a gap between when the project was closed &amp; when it was re-opened, the recommendation is to use the same Effective Date on the new “Open” row as was used on the most recent “Closed” row. When creating multiple rows with the same effective date, use the “Sequence” field to </w:t>
            </w:r>
            <w:r w:rsidRPr="005D3CFA">
              <w:rPr>
                <w:rFonts w:ascii="Verdana" w:hAnsi="Verdana"/>
              </w:rPr>
              <w:lastRenderedPageBreak/>
              <w:t>number the order in which the status changes occurred.</w:t>
            </w:r>
          </w:p>
        </w:tc>
        <w:tc>
          <w:tcPr>
            <w:tcW w:w="7128" w:type="dxa"/>
          </w:tcPr>
          <w:p w:rsidR="005D69D6" w:rsidRPr="0096757B" w:rsidRDefault="00A8523E" w:rsidP="00800551">
            <w:pPr>
              <w:rPr>
                <w:noProof/>
              </w:rPr>
            </w:pPr>
            <w:r>
              <w:rPr>
                <w:noProof/>
              </w:rPr>
              <w:lastRenderedPageBreak/>
              <w:drawing>
                <wp:inline distT="0" distB="0" distL="0" distR="0" wp14:anchorId="67DB8448" wp14:editId="45B6BD3D">
                  <wp:extent cx="4389120" cy="4720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9120" cy="4720590"/>
                          </a:xfrm>
                          <a:prstGeom prst="rect">
                            <a:avLst/>
                          </a:prstGeom>
                        </pic:spPr>
                      </pic:pic>
                    </a:graphicData>
                  </a:graphic>
                </wp:inline>
              </w:drawing>
            </w:r>
          </w:p>
        </w:tc>
      </w:tr>
      <w:tr w:rsidR="005D3CFA" w:rsidRPr="00161D65" w:rsidTr="009A26F3">
        <w:trPr>
          <w:trHeight w:val="143"/>
        </w:trPr>
        <w:tc>
          <w:tcPr>
            <w:tcW w:w="3330" w:type="dxa"/>
          </w:tcPr>
          <w:p w:rsidR="005D3CFA" w:rsidRDefault="005D3CFA" w:rsidP="005D3CFA">
            <w:pPr>
              <w:rPr>
                <w:rFonts w:ascii="Verdana" w:hAnsi="Verdana"/>
                <w:noProof/>
              </w:rPr>
            </w:pPr>
          </w:p>
        </w:tc>
        <w:tc>
          <w:tcPr>
            <w:tcW w:w="7128" w:type="dxa"/>
          </w:tcPr>
          <w:p w:rsidR="005D3CFA" w:rsidRDefault="005D3CFA" w:rsidP="00800551">
            <w:pPr>
              <w:rPr>
                <w:noProof/>
              </w:rPr>
            </w:pPr>
          </w:p>
        </w:tc>
      </w:tr>
      <w:tr w:rsidR="005D3CFA" w:rsidRPr="00161D65" w:rsidTr="00161D65">
        <w:tc>
          <w:tcPr>
            <w:tcW w:w="3330" w:type="dxa"/>
          </w:tcPr>
          <w:p w:rsidR="005D3CFA" w:rsidRDefault="009A26F3" w:rsidP="005D3CFA">
            <w:pPr>
              <w:rPr>
                <w:rFonts w:ascii="Verdana" w:hAnsi="Verdana"/>
                <w:noProof/>
              </w:rPr>
            </w:pPr>
            <w:r>
              <w:rPr>
                <w:rFonts w:ascii="Verdana" w:hAnsi="Verdana"/>
                <w:noProof/>
              </w:rPr>
              <w:t>Step 4. If you accidentally Save the new Open row with a gap in the dates between closure and opening, the only way the row can be removed is through technical assistance from the SMART Team.  A ManageEngine Service Desk ticket is required.</w:t>
            </w:r>
          </w:p>
        </w:tc>
        <w:tc>
          <w:tcPr>
            <w:tcW w:w="7128" w:type="dxa"/>
          </w:tcPr>
          <w:p w:rsidR="005D3CFA" w:rsidRDefault="005D3CFA" w:rsidP="00800551">
            <w:pPr>
              <w:rPr>
                <w:noProof/>
              </w:rPr>
            </w:pPr>
          </w:p>
        </w:tc>
      </w:tr>
    </w:tbl>
    <w:p w:rsidR="00D35629" w:rsidRDefault="00D35629" w:rsidP="009A26F3">
      <w:pPr>
        <w:spacing w:after="100" w:afterAutospacing="1"/>
        <w:rPr>
          <w:rFonts w:ascii="Calibri" w:hAnsi="Calibri"/>
        </w:rPr>
      </w:pPr>
    </w:p>
    <w:sectPr w:rsidR="00D35629" w:rsidSect="00800E4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6"/>
  </w:num>
  <w:num w:numId="6">
    <w:abstractNumId w:val="10"/>
  </w:num>
  <w:num w:numId="7">
    <w:abstractNumId w:val="1"/>
  </w:num>
  <w:num w:numId="8">
    <w:abstractNumId w:val="11"/>
  </w:num>
  <w:num w:numId="9">
    <w:abstractNumId w:val="12"/>
  </w:num>
  <w:num w:numId="10">
    <w:abstractNumId w:val="8"/>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6D31"/>
    <w:rsid w:val="00065551"/>
    <w:rsid w:val="00097987"/>
    <w:rsid w:val="000A40AE"/>
    <w:rsid w:val="000A7AED"/>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ABD"/>
    <w:rsid w:val="00246CBA"/>
    <w:rsid w:val="0024780E"/>
    <w:rsid w:val="00254DE3"/>
    <w:rsid w:val="00263863"/>
    <w:rsid w:val="00265739"/>
    <w:rsid w:val="002710BD"/>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6B9"/>
    <w:rsid w:val="004128EE"/>
    <w:rsid w:val="004443B6"/>
    <w:rsid w:val="00466533"/>
    <w:rsid w:val="00477DAF"/>
    <w:rsid w:val="004847C7"/>
    <w:rsid w:val="0049585B"/>
    <w:rsid w:val="004A0B6D"/>
    <w:rsid w:val="004A43A5"/>
    <w:rsid w:val="004C084E"/>
    <w:rsid w:val="004C0BC4"/>
    <w:rsid w:val="004C7AB2"/>
    <w:rsid w:val="004E2570"/>
    <w:rsid w:val="004E60F1"/>
    <w:rsid w:val="0053153A"/>
    <w:rsid w:val="00535F16"/>
    <w:rsid w:val="005544A6"/>
    <w:rsid w:val="005559DD"/>
    <w:rsid w:val="00584192"/>
    <w:rsid w:val="00596DD8"/>
    <w:rsid w:val="005A65E5"/>
    <w:rsid w:val="005B714B"/>
    <w:rsid w:val="005C4C83"/>
    <w:rsid w:val="005D3CFA"/>
    <w:rsid w:val="005D69D6"/>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96837"/>
    <w:rsid w:val="007A7FF1"/>
    <w:rsid w:val="007B111E"/>
    <w:rsid w:val="007E38B9"/>
    <w:rsid w:val="007E6960"/>
    <w:rsid w:val="007F3D2C"/>
    <w:rsid w:val="00800551"/>
    <w:rsid w:val="00800E42"/>
    <w:rsid w:val="00806A57"/>
    <w:rsid w:val="00812A2C"/>
    <w:rsid w:val="00835DD3"/>
    <w:rsid w:val="0084482B"/>
    <w:rsid w:val="00853B49"/>
    <w:rsid w:val="00881603"/>
    <w:rsid w:val="00890040"/>
    <w:rsid w:val="008934AD"/>
    <w:rsid w:val="008B5B32"/>
    <w:rsid w:val="008C6EDA"/>
    <w:rsid w:val="008D104C"/>
    <w:rsid w:val="008E5F3A"/>
    <w:rsid w:val="00916A14"/>
    <w:rsid w:val="00934316"/>
    <w:rsid w:val="0094387D"/>
    <w:rsid w:val="00945EAE"/>
    <w:rsid w:val="0096138D"/>
    <w:rsid w:val="009773A3"/>
    <w:rsid w:val="00996C68"/>
    <w:rsid w:val="009A26F3"/>
    <w:rsid w:val="009A5953"/>
    <w:rsid w:val="009B690D"/>
    <w:rsid w:val="009E2F66"/>
    <w:rsid w:val="009E381A"/>
    <w:rsid w:val="00A008BC"/>
    <w:rsid w:val="00A05D98"/>
    <w:rsid w:val="00A8523E"/>
    <w:rsid w:val="00AC3EA4"/>
    <w:rsid w:val="00AD7F09"/>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268F6"/>
    <w:rsid w:val="00C74345"/>
    <w:rsid w:val="00C74D13"/>
    <w:rsid w:val="00C77DAD"/>
    <w:rsid w:val="00C81D1B"/>
    <w:rsid w:val="00C902E5"/>
    <w:rsid w:val="00C93B12"/>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041272"/>
  <w15:docId w15:val="{6D28E9DF-7E09-4A6B-9220-B2DB8286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Shaver, Linda [DASM]</cp:lastModifiedBy>
  <cp:revision>5</cp:revision>
  <cp:lastPrinted>2012-11-27T20:45:00Z</cp:lastPrinted>
  <dcterms:created xsi:type="dcterms:W3CDTF">2019-03-01T19:12:00Z</dcterms:created>
  <dcterms:modified xsi:type="dcterms:W3CDTF">2019-03-20T15:15:00Z</dcterms:modified>
</cp:coreProperties>
</file>