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D54C" w14:textId="77777777" w:rsidR="00800E42" w:rsidRDefault="004B03D9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E7F86C0" wp14:editId="2D6159CE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C37">
        <w:rPr>
          <w:rFonts w:ascii="Calibri" w:hAnsi="Calibri"/>
          <w:noProof/>
          <w:sz w:val="32"/>
          <w:szCs w:val="32"/>
        </w:rPr>
        <w:object w:dxaOrig="1440" w:dyaOrig="1440" w14:anchorId="0ABEF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704697137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26F8A86A" w14:textId="77777777" w:rsidR="00235F41" w:rsidRDefault="00086687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Modifying</w:t>
      </w:r>
      <w:r w:rsidR="0097109A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1099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Information on a</w:t>
      </w:r>
      <w:r w:rsidR="0097109A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Voucher</w:t>
      </w:r>
    </w:p>
    <w:p w14:paraId="2C61C240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D65DFA0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082DDC08" w14:textId="77777777" w:rsidTr="00870EB2">
        <w:tc>
          <w:tcPr>
            <w:tcW w:w="3240" w:type="dxa"/>
            <w:gridSpan w:val="2"/>
          </w:tcPr>
          <w:p w14:paraId="0840D6D1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14:paraId="3A7DD3A9" w14:textId="77777777" w:rsidR="003738F2" w:rsidRPr="0049585B" w:rsidRDefault="0097109A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01/</w:t>
            </w:r>
            <w:r w:rsidR="00235F41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AF2E3C" w:rsidRPr="00161D65" w14:paraId="6155D5DC" w14:textId="77777777" w:rsidTr="00870EB2">
        <w:tc>
          <w:tcPr>
            <w:tcW w:w="3240" w:type="dxa"/>
            <w:gridSpan w:val="2"/>
          </w:tcPr>
          <w:p w14:paraId="625EC604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14:paraId="68DF809C" w14:textId="77777777" w:rsidR="00AF2E3C" w:rsidRPr="0049585B" w:rsidRDefault="00235F4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</w:tr>
      <w:tr w:rsidR="000B12F4" w:rsidRPr="00161D65" w14:paraId="0FACC44A" w14:textId="77777777" w:rsidTr="00870EB2">
        <w:tc>
          <w:tcPr>
            <w:tcW w:w="3240" w:type="dxa"/>
            <w:gridSpan w:val="2"/>
          </w:tcPr>
          <w:p w14:paraId="34FA360F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7DF8AED1" w14:textId="7777777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97109A">
              <w:rPr>
                <w:rFonts w:ascii="Calibri" w:hAnsi="Calibri"/>
                <w:noProof/>
                <w:sz w:val="22"/>
                <w:szCs w:val="22"/>
              </w:rPr>
              <w:t>create a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4857922B" w14:textId="77777777" w:rsidR="004E54EA" w:rsidRPr="004E54EA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KAP_Agy_AP_Processor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</w:p>
          <w:p w14:paraId="628F5A67" w14:textId="77777777" w:rsidR="004E54EA" w:rsidRPr="004E54EA" w:rsidRDefault="004E54EA" w:rsidP="00515F37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08C1901" w14:textId="77777777" w:rsidR="00642264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>Agencies will only have access to the</w:t>
            </w:r>
            <w:r w:rsidR="0097109A">
              <w:rPr>
                <w:rFonts w:ascii="Calibri" w:hAnsi="Calibri"/>
                <w:noProof/>
                <w:sz w:val="22"/>
                <w:szCs w:val="22"/>
              </w:rPr>
              <w:t xml:space="preserve"> vouchers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  <w:p w14:paraId="09A8114F" w14:textId="77777777" w:rsidR="000B12F4" w:rsidRPr="004E54EA" w:rsidRDefault="000B12F4" w:rsidP="00642264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</w:p>
        </w:tc>
      </w:tr>
      <w:tr w:rsidR="000B12F4" w:rsidRPr="00161D65" w14:paraId="6AE9CAF6" w14:textId="77777777" w:rsidTr="00870EB2">
        <w:tc>
          <w:tcPr>
            <w:tcW w:w="3240" w:type="dxa"/>
            <w:gridSpan w:val="2"/>
          </w:tcPr>
          <w:p w14:paraId="71F31462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1561FB13" w14:textId="77777777" w:rsidR="000B12F4" w:rsidRPr="00F20781" w:rsidRDefault="00515F37" w:rsidP="00CB7B74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Vouchers </w:t>
            </w:r>
            <w:r w:rsidR="0097109A">
              <w:rPr>
                <w:rFonts w:ascii="Calibri Light" w:hAnsi="Calibri Light"/>
                <w:b/>
                <w:noProof/>
                <w:sz w:val="22"/>
                <w:szCs w:val="22"/>
              </w:rPr>
              <w:t>&gt;</w:t>
            </w:r>
            <w:r w:rsidR="00CB7B74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Add/Update &gt; Regular Entry</w:t>
            </w:r>
          </w:p>
        </w:tc>
      </w:tr>
      <w:tr w:rsidR="004E54EA" w:rsidRPr="009063D6" w14:paraId="6880C321" w14:textId="77777777" w:rsidTr="00870EB2">
        <w:tc>
          <w:tcPr>
            <w:tcW w:w="648" w:type="dxa"/>
          </w:tcPr>
          <w:p w14:paraId="261C2F03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22445272" w14:textId="77777777" w:rsidR="00515F37" w:rsidRPr="00F20781" w:rsidRDefault="0097109A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Create a Voucher</w:t>
            </w:r>
            <w:r w:rsidR="00CB7B74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 xml:space="preserve"> </w:t>
            </w:r>
            <w:r w:rsidR="00CB7B7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OR</w:t>
            </w:r>
            <w:r w:rsidR="00CB7B74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 xml:space="preserve"> Navigate to an Existing Voucher.</w:t>
            </w:r>
          </w:p>
          <w:p w14:paraId="321B966A" w14:textId="77777777" w:rsidR="00066948" w:rsidRDefault="00066948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766206B" w14:textId="77777777" w:rsidR="00066948" w:rsidRPr="00F20781" w:rsidRDefault="00066948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3F6A6C0" w14:textId="77777777" w:rsidR="004E54EA" w:rsidRDefault="00CB7B74" w:rsidP="00CB7B74">
            <w:pPr>
              <w:pStyle w:val="ListParagraph"/>
              <w:numPr>
                <w:ilvl w:val="0"/>
                <w:numId w:val="18"/>
              </w:numPr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CB7B74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Create Voucher:</w:t>
            </w:r>
            <w:r w:rsidR="007C4480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</w:t>
            </w:r>
            <w:r w:rsidR="007C448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Use the ‘Add a New Value’ tab and p</w:t>
            </w:r>
            <w:r w:rsidR="0097109A" w:rsidRPr="00CB7B7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opulate the fields as ne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cessary</w:t>
            </w:r>
            <w:r w:rsidR="0097109A" w:rsidRPr="00CB7B7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for your voucher creation. You can choose to populate these fields now or after you have clicked</w:t>
            </w:r>
            <w:r w:rsidR="00280211" w:rsidRPr="00CB7B7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the</w:t>
            </w:r>
            <w:r w:rsidR="0097109A" w:rsidRPr="00CB7B7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‘Add’</w:t>
            </w:r>
            <w:r w:rsidR="00280211" w:rsidRPr="00CB7B7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button</w:t>
            </w:r>
            <w:r w:rsidR="0097109A" w:rsidRPr="00CB7B7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.</w:t>
            </w:r>
          </w:p>
          <w:p w14:paraId="3867F396" w14:textId="77777777" w:rsidR="00CB7B74" w:rsidRPr="00CB7B74" w:rsidRDefault="00CB7B74" w:rsidP="00CB7B74">
            <w:pPr>
              <w:pStyle w:val="ListParagraph"/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06F8812F" w14:textId="77777777" w:rsidR="00CB7B74" w:rsidRPr="00CB7B74" w:rsidRDefault="00CB7B74" w:rsidP="00CB7B74">
            <w:pPr>
              <w:pStyle w:val="ListParagraph"/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0680AAB0" w14:textId="77777777" w:rsidR="00CB7B74" w:rsidRPr="00CB7B74" w:rsidRDefault="00CB7B74" w:rsidP="00CB7B74">
            <w:pPr>
              <w:pStyle w:val="ListParagraph"/>
              <w:ind w:left="234" w:hanging="234"/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  <w:p w14:paraId="1120E7C6" w14:textId="77777777" w:rsidR="00CB7B74" w:rsidRPr="00CB7B74" w:rsidRDefault="00CB7B74" w:rsidP="00CB7B74">
            <w:pPr>
              <w:pStyle w:val="ListParagraph"/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3668557F" w14:textId="77777777" w:rsidR="00CB7B74" w:rsidRPr="00CB7B74" w:rsidRDefault="00CB7B74" w:rsidP="00CB7B74">
            <w:pPr>
              <w:pStyle w:val="ListParagraph"/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5BA4B650" w14:textId="77777777" w:rsidR="00CB7B74" w:rsidRPr="00CB7B74" w:rsidRDefault="00CB7B74" w:rsidP="00CB7B74">
            <w:pPr>
              <w:pStyle w:val="ListParagraph"/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58F2F859" w14:textId="77777777" w:rsidR="00CB7B74" w:rsidRPr="00CB7B74" w:rsidRDefault="00CB7B74" w:rsidP="00CB7B74">
            <w:pPr>
              <w:pStyle w:val="ListParagraph"/>
              <w:numPr>
                <w:ilvl w:val="0"/>
                <w:numId w:val="18"/>
              </w:numPr>
              <w:ind w:left="234" w:hanging="23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Navigate to an Existing Voucher:</w:t>
            </w:r>
            <w:r w:rsidR="007C4480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Use the ‘Find an Existing Value’ tab and populate the Voucher ID field then click the ‘Search’ button.</w:t>
            </w:r>
          </w:p>
        </w:tc>
        <w:tc>
          <w:tcPr>
            <w:tcW w:w="7218" w:type="dxa"/>
          </w:tcPr>
          <w:p w14:paraId="7C2E4DA3" w14:textId="77777777" w:rsidR="0097109A" w:rsidRDefault="00683582" w:rsidP="00CB7B7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071F5A" wp14:editId="3B4A9C62">
                  <wp:extent cx="2584200" cy="2705100"/>
                  <wp:effectExtent l="19050" t="19050" r="2603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878" cy="27047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56838" w14:textId="77777777" w:rsidR="00CB7B74" w:rsidRDefault="00CB7B74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85BE584" w14:textId="77777777" w:rsidR="002E39F4" w:rsidRPr="00CB7B74" w:rsidRDefault="00CB7B74" w:rsidP="00CB7B7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5E2987" wp14:editId="0F6BF64A">
                  <wp:extent cx="2562225" cy="2903855"/>
                  <wp:effectExtent l="19050" t="19050" r="28575" b="107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511" cy="29087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AC273" w14:textId="77777777" w:rsidR="00163835" w:rsidRDefault="00163835"/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92"/>
        <w:gridCol w:w="7218"/>
      </w:tblGrid>
      <w:tr w:rsidR="00163835" w:rsidRPr="009063D6" w14:paraId="752F1D29" w14:textId="77777777" w:rsidTr="00F506C8">
        <w:tc>
          <w:tcPr>
            <w:tcW w:w="630" w:type="dxa"/>
          </w:tcPr>
          <w:p w14:paraId="33927A1D" w14:textId="77777777" w:rsidR="00163835" w:rsidRPr="00642264" w:rsidRDefault="00163835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592" w:type="dxa"/>
          </w:tcPr>
          <w:p w14:paraId="15637731" w14:textId="77777777" w:rsidR="00163835" w:rsidRDefault="00163835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View Withholding Details</w:t>
            </w:r>
          </w:p>
          <w:p w14:paraId="23E03F4F" w14:textId="77777777" w:rsidR="00163835" w:rsidRDefault="00163835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</w:p>
          <w:p w14:paraId="6CE98F7D" w14:textId="77777777" w:rsidR="00163835" w:rsidRPr="00962C35" w:rsidRDefault="00163835" w:rsidP="001C7A87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Click the ‘Withholding’ hyperlink to view details for the voucher’s supplier.</w:t>
            </w:r>
          </w:p>
          <w:p w14:paraId="5732ADCA" w14:textId="77777777" w:rsidR="00163835" w:rsidRPr="00962C35" w:rsidRDefault="00163835" w:rsidP="001C7A87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4E41F021" w14:textId="77777777" w:rsidR="00163835" w:rsidRPr="00962C35" w:rsidRDefault="00163835" w:rsidP="001C7A87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The Withholding details may be changed from this page if necessary.</w:t>
            </w:r>
          </w:p>
          <w:p w14:paraId="52A60258" w14:textId="77777777" w:rsidR="00163835" w:rsidRPr="00962C35" w:rsidRDefault="00163835" w:rsidP="001C7A87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45B4DA70" w14:textId="77777777" w:rsidR="00CB7B74" w:rsidRDefault="00CB7B74" w:rsidP="001C7A87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14:paraId="462CC6D1" w14:textId="77777777" w:rsidR="00163835" w:rsidRPr="00163835" w:rsidRDefault="00163835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The Withholding Applicable checkbox defaults to selected if the supplier</w:t>
            </w:r>
            <w:r w:rsidR="00F506C8"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was set up as being Withholding Applicable. This indicates that the payment for this voucher line will be included on the 1099 statement that is issued for this supplier.</w:t>
            </w:r>
          </w:p>
        </w:tc>
        <w:tc>
          <w:tcPr>
            <w:tcW w:w="7218" w:type="dxa"/>
          </w:tcPr>
          <w:p w14:paraId="3ED40862" w14:textId="77777777" w:rsidR="00163835" w:rsidRDefault="00163835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675263E0" w14:textId="77777777" w:rsidR="00163835" w:rsidRDefault="00163835" w:rsidP="00CB7B7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D42AFB" wp14:editId="5581BE91">
                  <wp:extent cx="4430013" cy="1447800"/>
                  <wp:effectExtent l="19050" t="19050" r="2794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013" cy="1447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E8521" w14:textId="77777777" w:rsidR="00163835" w:rsidRDefault="00163835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3D62D63" w14:textId="77777777" w:rsidR="00163835" w:rsidRDefault="00683582" w:rsidP="00CB7B7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78A347" wp14:editId="481CDC7E">
                  <wp:extent cx="4327699" cy="2409825"/>
                  <wp:effectExtent l="19050" t="19050" r="1587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147" cy="24139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8061B" w14:textId="77777777" w:rsidR="00280211" w:rsidRDefault="00280211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F506C8" w:rsidRPr="009063D6" w14:paraId="1AAFAF84" w14:textId="77777777" w:rsidTr="00F506C8">
        <w:tc>
          <w:tcPr>
            <w:tcW w:w="630" w:type="dxa"/>
          </w:tcPr>
          <w:p w14:paraId="2B7EA88E" w14:textId="77777777" w:rsidR="00F506C8" w:rsidRDefault="00F506C8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592" w:type="dxa"/>
          </w:tcPr>
          <w:p w14:paraId="35151066" w14:textId="77777777" w:rsidR="00F506C8" w:rsidRDefault="00280211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 xml:space="preserve">Modify the </w:t>
            </w:r>
            <w:r w:rsidR="00F506C8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Withholding Status on a Voucher</w:t>
            </w:r>
          </w:p>
          <w:p w14:paraId="0422F778" w14:textId="77777777" w:rsidR="00F506C8" w:rsidRDefault="00F506C8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</w:p>
          <w:p w14:paraId="4C7C64F9" w14:textId="77777777" w:rsidR="00F506C8" w:rsidRPr="00962C35" w:rsidRDefault="00962C35" w:rsidP="00962C3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If the payment is not reportable d</w:t>
            </w:r>
            <w:r w:rsidR="00F506C8"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eselect the Withholding Applicable 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checkboxes in the Withholding Code section and the Withholding Details section. Withholding can be modified</w:t>
            </w:r>
            <w:r w:rsidR="008A2303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separately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for each line on the voucher if one is applicable and one is not.</w:t>
            </w:r>
          </w:p>
          <w:p w14:paraId="5B3A8F01" w14:textId="77777777" w:rsidR="00962C35" w:rsidRDefault="00962C35" w:rsidP="00962C35">
            <w:pPr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</w:p>
          <w:p w14:paraId="708CFE70" w14:textId="77777777" w:rsidR="00962C35" w:rsidRDefault="00962C35" w:rsidP="008A2303">
            <w:pPr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</w:pPr>
            <w:r w:rsidRPr="00962C35"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  <w:t xml:space="preserve">See the </w:t>
            </w:r>
            <w:hyperlink r:id="rId14" w:history="1">
              <w:r w:rsidRPr="00962C35">
                <w:rPr>
                  <w:rStyle w:val="Hyperlink"/>
                  <w:rFonts w:asciiTheme="minorHAnsi" w:hAnsiTheme="minorHAnsi" w:cs="Arial"/>
                  <w:i/>
                  <w:noProof/>
                  <w:sz w:val="22"/>
                  <w:szCs w:val="22"/>
                </w:rPr>
                <w:t>SMART 1099 and Withholding Information Training Guide</w:t>
              </w:r>
            </w:hyperlink>
            <w:r w:rsidRPr="00962C35"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  <w:t xml:space="preserve"> for details.</w:t>
            </w:r>
          </w:p>
          <w:p w14:paraId="6C0A1029" w14:textId="77777777" w:rsidR="00280211" w:rsidRPr="008A2303" w:rsidRDefault="00280211" w:rsidP="008A2303">
            <w:pPr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218" w:type="dxa"/>
          </w:tcPr>
          <w:p w14:paraId="591AF04D" w14:textId="77777777" w:rsidR="00F506C8" w:rsidRDefault="00F506C8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9819A1A" w14:textId="77777777" w:rsidR="008A2303" w:rsidRDefault="00683582" w:rsidP="00CB7B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43B7CD" wp14:editId="3EEEE7C6">
                  <wp:extent cx="4366727" cy="2628900"/>
                  <wp:effectExtent l="19050" t="19050" r="15240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727" cy="2628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1D95E" w14:textId="77777777" w:rsidR="008A2303" w:rsidRDefault="008A2303" w:rsidP="001C7A87">
            <w:pPr>
              <w:rPr>
                <w:noProof/>
              </w:rPr>
            </w:pPr>
          </w:p>
          <w:p w14:paraId="6DFCEA26" w14:textId="77777777" w:rsidR="008A2303" w:rsidRDefault="008A2303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*The Withholding Applicable checkbox should be deselected </w:t>
            </w:r>
            <w:r w:rsidRPr="00280211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  <w:u w:val="single"/>
              </w:rPr>
              <w:t>only</w:t>
            </w: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in those cases where the agency has determined the </w:t>
            </w:r>
            <w:r w:rsidRPr="00280211">
              <w:rPr>
                <w:rFonts w:asciiTheme="minorHAnsi" w:hAnsiTheme="minorHAnsi" w:cs="Arial"/>
                <w:b/>
                <w:i/>
                <w:noProof/>
                <w:color w:val="000000"/>
                <w:sz w:val="22"/>
                <w:szCs w:val="22"/>
              </w:rPr>
              <w:t>payment</w:t>
            </w:r>
            <w:r w:rsidRPr="00962C3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to be non-reportable in accordance with IRS regulations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.</w:t>
            </w:r>
          </w:p>
        </w:tc>
      </w:tr>
    </w:tbl>
    <w:p w14:paraId="60ED0A3B" w14:textId="77777777" w:rsidR="008A2303" w:rsidRDefault="008A2303">
      <w:r>
        <w:br w:type="page"/>
      </w: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92"/>
        <w:gridCol w:w="7218"/>
      </w:tblGrid>
      <w:tr w:rsidR="008A2303" w:rsidRPr="009063D6" w14:paraId="139453C0" w14:textId="77777777" w:rsidTr="00F506C8">
        <w:tc>
          <w:tcPr>
            <w:tcW w:w="630" w:type="dxa"/>
          </w:tcPr>
          <w:p w14:paraId="00AE6AE1" w14:textId="77777777" w:rsidR="008A2303" w:rsidRPr="008A2303" w:rsidRDefault="008A2303" w:rsidP="001C7A8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92" w:type="dxa"/>
          </w:tcPr>
          <w:p w14:paraId="3E46ED5D" w14:textId="77777777" w:rsidR="00280211" w:rsidRDefault="00280211" w:rsidP="00280211">
            <w:pPr>
              <w:pStyle w:val="ListParagraph"/>
              <w:ind w:left="252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420CE865" w14:textId="77777777" w:rsidR="008A2303" w:rsidRDefault="008A2303" w:rsidP="008A2303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If the payment is reportable the withholding boxes should remain checked. </w:t>
            </w:r>
          </w:p>
          <w:p w14:paraId="043C474F" w14:textId="77777777" w:rsidR="00280211" w:rsidRDefault="00280211" w:rsidP="00280211">
            <w:pPr>
              <w:pStyle w:val="ListParagraph"/>
              <w:ind w:left="252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788424C" w14:textId="77777777" w:rsidR="00086687" w:rsidRDefault="00086687" w:rsidP="00086687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Populate the appropriate Class in the field. If you need a new Class added to the supplier please submit a Service Desk Ticket.</w:t>
            </w:r>
          </w:p>
          <w:p w14:paraId="6164119C" w14:textId="77777777" w:rsidR="00086687" w:rsidRPr="00086687" w:rsidRDefault="00086687" w:rsidP="00086687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70469C2" w14:textId="77777777" w:rsidR="008A2303" w:rsidRPr="00086687" w:rsidRDefault="00086687" w:rsidP="00086687">
            <w:pPr>
              <w:pStyle w:val="ListParagraph"/>
              <w:ind w:left="252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086687">
              <w:rPr>
                <w:rFonts w:asciiTheme="minorHAnsi" w:hAnsiTheme="minorHAnsi"/>
                <w:i/>
                <w:noProof/>
                <w:sz w:val="22"/>
                <w:szCs w:val="22"/>
              </w:rPr>
              <w:t>Leave the</w:t>
            </w:r>
            <w:r w:rsidR="00280211" w:rsidRPr="0008668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Withholding Code</w:t>
            </w:r>
            <w:r w:rsidRPr="0008668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field blank</w:t>
            </w:r>
            <w:r w:rsidR="00280211" w:rsidRPr="00086687">
              <w:rPr>
                <w:rFonts w:asciiTheme="minorHAnsi" w:hAnsiTheme="minorHAnsi"/>
                <w:i/>
                <w:noProof/>
                <w:sz w:val="22"/>
                <w:szCs w:val="22"/>
              </w:rPr>
              <w:t>.</w:t>
            </w:r>
          </w:p>
          <w:p w14:paraId="5F5A1A61" w14:textId="77777777" w:rsidR="00280211" w:rsidRPr="00086687" w:rsidRDefault="00280211" w:rsidP="000866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EB2F274" w14:textId="77777777" w:rsidR="00280211" w:rsidRDefault="00280211" w:rsidP="008A2303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Once all modifications are made, click the ‘Back to Invoice’ hyperlink to return to the voucher.</w:t>
            </w:r>
          </w:p>
          <w:p w14:paraId="520BFF3E" w14:textId="77777777" w:rsidR="00086687" w:rsidRDefault="00086687" w:rsidP="000866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14BC2B8" w14:textId="77777777" w:rsidR="00086687" w:rsidRPr="00086687" w:rsidRDefault="00086687" w:rsidP="000866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Save the voucher once you have exited out of the Withholding Information page.</w:t>
            </w:r>
          </w:p>
        </w:tc>
        <w:tc>
          <w:tcPr>
            <w:tcW w:w="7218" w:type="dxa"/>
          </w:tcPr>
          <w:p w14:paraId="4279D47A" w14:textId="77777777" w:rsidR="00280211" w:rsidRDefault="00280211" w:rsidP="001C7A87">
            <w:pPr>
              <w:rPr>
                <w:noProof/>
              </w:rPr>
            </w:pPr>
          </w:p>
          <w:p w14:paraId="56D918AC" w14:textId="77777777" w:rsidR="008A2303" w:rsidRDefault="00683582" w:rsidP="00CB7B7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3E6886" wp14:editId="6B3CD576">
                  <wp:extent cx="4432737" cy="2790825"/>
                  <wp:effectExtent l="19050" t="19050" r="2540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737" cy="2790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45BD8" w14:textId="77777777" w:rsidR="00280211" w:rsidRDefault="00280211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C5D9DE7" w14:textId="77777777" w:rsidR="00D35629" w:rsidRPr="00F20781" w:rsidRDefault="00D35629" w:rsidP="00F20781"/>
    <w:sectPr w:rsidR="00D35629" w:rsidRPr="00F20781" w:rsidSect="00800E42">
      <w:foot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AB2" w14:textId="77777777" w:rsidR="00DB3D9B" w:rsidRDefault="00DB3D9B" w:rsidP="00996C68">
      <w:r>
        <w:separator/>
      </w:r>
    </w:p>
  </w:endnote>
  <w:endnote w:type="continuationSeparator" w:id="0">
    <w:p w14:paraId="526E6D77" w14:textId="77777777"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F8E3" w14:textId="77777777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C4B40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AC4B40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1F5E3B9" w14:textId="77777777" w:rsidR="004A43A5" w:rsidRPr="00CB7FA7" w:rsidRDefault="00086687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Modifying 1099 Information on a Voucher 11/01/2016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0894" w14:textId="77777777" w:rsidR="00DB3D9B" w:rsidRDefault="00DB3D9B" w:rsidP="00996C68">
      <w:r>
        <w:separator/>
      </w:r>
    </w:p>
  </w:footnote>
  <w:footnote w:type="continuationSeparator" w:id="0">
    <w:p w14:paraId="5AB3F7CF" w14:textId="77777777"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7A54"/>
    <w:multiLevelType w:val="hybridMultilevel"/>
    <w:tmpl w:val="54CA4B5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8A03959"/>
    <w:multiLevelType w:val="hybridMultilevel"/>
    <w:tmpl w:val="B5A88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2BFF"/>
    <w:multiLevelType w:val="hybridMultilevel"/>
    <w:tmpl w:val="249E2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15"/>
  </w:num>
  <w:num w:numId="9">
    <w:abstractNumId w:val="17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5551"/>
    <w:rsid w:val="00066948"/>
    <w:rsid w:val="00086687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10BFF"/>
    <w:rsid w:val="001251AD"/>
    <w:rsid w:val="001320A7"/>
    <w:rsid w:val="00145465"/>
    <w:rsid w:val="00157F39"/>
    <w:rsid w:val="00161D65"/>
    <w:rsid w:val="00163835"/>
    <w:rsid w:val="00175D9B"/>
    <w:rsid w:val="00197B74"/>
    <w:rsid w:val="001A135E"/>
    <w:rsid w:val="001A6CF3"/>
    <w:rsid w:val="001B52C2"/>
    <w:rsid w:val="001C4D52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80211"/>
    <w:rsid w:val="00290E9D"/>
    <w:rsid w:val="002E13D2"/>
    <w:rsid w:val="002E39F4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15F37"/>
    <w:rsid w:val="00535F16"/>
    <w:rsid w:val="005544A6"/>
    <w:rsid w:val="005559DD"/>
    <w:rsid w:val="00584192"/>
    <w:rsid w:val="005A0C37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2264"/>
    <w:rsid w:val="00652B29"/>
    <w:rsid w:val="00652D2D"/>
    <w:rsid w:val="00652F36"/>
    <w:rsid w:val="00671862"/>
    <w:rsid w:val="0068358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C4480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70EB2"/>
    <w:rsid w:val="00881603"/>
    <w:rsid w:val="008829A3"/>
    <w:rsid w:val="00890040"/>
    <w:rsid w:val="008934AD"/>
    <w:rsid w:val="008A2303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62C35"/>
    <w:rsid w:val="0097109A"/>
    <w:rsid w:val="009773A3"/>
    <w:rsid w:val="00996C68"/>
    <w:rsid w:val="009A0867"/>
    <w:rsid w:val="009A5953"/>
    <w:rsid w:val="009B690D"/>
    <w:rsid w:val="009E2F66"/>
    <w:rsid w:val="009E381A"/>
    <w:rsid w:val="00A008BC"/>
    <w:rsid w:val="00A05D98"/>
    <w:rsid w:val="00AC3EA4"/>
    <w:rsid w:val="00AC4B40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B7B74"/>
    <w:rsid w:val="00CB7FA7"/>
    <w:rsid w:val="00CC3C74"/>
    <w:rsid w:val="00CC5C66"/>
    <w:rsid w:val="00CD0715"/>
    <w:rsid w:val="00CE66D0"/>
    <w:rsid w:val="00CE7F03"/>
    <w:rsid w:val="00CF4252"/>
    <w:rsid w:val="00D05114"/>
    <w:rsid w:val="00D109F2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19A6"/>
    <w:rsid w:val="00E46737"/>
    <w:rsid w:val="00E75341"/>
    <w:rsid w:val="00E9354B"/>
    <w:rsid w:val="00EA49CE"/>
    <w:rsid w:val="00EB148E"/>
    <w:rsid w:val="00ED4497"/>
    <w:rsid w:val="00EE1A38"/>
    <w:rsid w:val="00F00C33"/>
    <w:rsid w:val="00F16688"/>
    <w:rsid w:val="00F20781"/>
    <w:rsid w:val="00F3608C"/>
    <w:rsid w:val="00F366FE"/>
    <w:rsid w:val="00F506C8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ABDD9D"/>
  <w15:docId w15:val="{753FEAF8-8EAF-4653-A254-ADCEC8E7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yperlink" Target="http://smartweb.ks.gov/training/accounts-pay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Bookwalter, Kristin [DAAR]</cp:lastModifiedBy>
  <cp:revision>2</cp:revision>
  <cp:lastPrinted>2016-11-01T17:45:00Z</cp:lastPrinted>
  <dcterms:created xsi:type="dcterms:W3CDTF">2022-01-26T16:13:00Z</dcterms:created>
  <dcterms:modified xsi:type="dcterms:W3CDTF">2022-01-26T16:13:00Z</dcterms:modified>
</cp:coreProperties>
</file>