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Default="001453D5" w:rsidP="000B12F4">
      <w:pPr>
        <w:pStyle w:val="Header"/>
        <w:spacing w:before="120"/>
        <w:jc w:val="center"/>
        <w:rPr>
          <w:rFonts w:ascii="Calibri" w:hAnsi="Calibri" w:cs="Arial"/>
          <w:b/>
          <w:bCs/>
          <w:noProof/>
          <w:sz w:val="32"/>
          <w:szCs w:val="32"/>
          <w:lang w:val="en-US"/>
        </w:rPr>
      </w:pPr>
      <w:r>
        <w:rPr>
          <w:rFonts w:cs="Arial"/>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sz w:val="32"/>
          <w:szCs w:val="32"/>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8754617" r:id="rId10"/>
        </w:pict>
      </w:r>
      <w:r w:rsidR="00800E42" w:rsidRPr="00996C68">
        <w:rPr>
          <w:rFonts w:ascii="Calibri" w:hAnsi="Calibri" w:cs="Arial"/>
          <w:b/>
          <w:bCs/>
          <w:noProof/>
          <w:sz w:val="32"/>
          <w:szCs w:val="32"/>
        </w:rPr>
        <w:t>State of Kansas</w:t>
      </w:r>
    </w:p>
    <w:p w:rsidR="00800551" w:rsidRPr="00800551" w:rsidRDefault="00D71110" w:rsidP="000B12F4">
      <w:pPr>
        <w:pStyle w:val="Header"/>
        <w:spacing w:before="120"/>
        <w:jc w:val="center"/>
        <w:rPr>
          <w:rFonts w:ascii="Verdana" w:hAnsi="Verdana" w:cs="Arial"/>
          <w:b/>
          <w:bCs/>
          <w:noProof/>
          <w:sz w:val="32"/>
          <w:szCs w:val="32"/>
          <w:lang w:val="en-US"/>
        </w:rPr>
      </w:pPr>
      <w:r>
        <w:rPr>
          <w:rFonts w:ascii="Verdana" w:hAnsi="Verdana" w:cs="Arial"/>
          <w:b/>
          <w:bCs/>
          <w:noProof/>
          <w:sz w:val="32"/>
          <w:szCs w:val="32"/>
          <w:lang w:val="en-US"/>
        </w:rPr>
        <w:t>Federal Financial Report</w:t>
      </w:r>
    </w:p>
    <w:p w:rsidR="005F7B5A" w:rsidRPr="00996C68" w:rsidRDefault="00800E42" w:rsidP="00800551">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rsidTr="00161D65">
        <w:tc>
          <w:tcPr>
            <w:tcW w:w="3330" w:type="dxa"/>
          </w:tcPr>
          <w:p w:rsidR="00AF2E3C" w:rsidRPr="00D71110" w:rsidRDefault="00AF2E3C" w:rsidP="00161D65">
            <w:pPr>
              <w:rPr>
                <w:rFonts w:ascii="Verdana" w:hAnsi="Verdana"/>
                <w:b/>
                <w:noProof/>
              </w:rPr>
            </w:pPr>
            <w:r w:rsidRPr="00D71110">
              <w:rPr>
                <w:rFonts w:ascii="Verdana" w:hAnsi="Verdana"/>
                <w:b/>
                <w:noProof/>
              </w:rPr>
              <w:t>Date Created:</w:t>
            </w:r>
          </w:p>
        </w:tc>
        <w:tc>
          <w:tcPr>
            <w:tcW w:w="7128" w:type="dxa"/>
          </w:tcPr>
          <w:p w:rsidR="003738F2" w:rsidRPr="00D71110" w:rsidRDefault="001453D5" w:rsidP="00290E9D">
            <w:pPr>
              <w:rPr>
                <w:rFonts w:ascii="Verdana" w:hAnsi="Verdana"/>
              </w:rPr>
            </w:pPr>
            <w:r>
              <w:rPr>
                <w:rFonts w:ascii="Verdana" w:hAnsi="Verdana"/>
              </w:rPr>
              <w:t>11/11</w:t>
            </w:r>
            <w:r w:rsidR="00D71110" w:rsidRPr="00D71110">
              <w:rPr>
                <w:rFonts w:ascii="Verdana" w:hAnsi="Verdana"/>
              </w:rPr>
              <w:t>/2015</w:t>
            </w:r>
          </w:p>
        </w:tc>
      </w:tr>
      <w:tr w:rsidR="00AF2E3C" w:rsidRPr="00161D65" w:rsidTr="00161D65">
        <w:tc>
          <w:tcPr>
            <w:tcW w:w="3330" w:type="dxa"/>
          </w:tcPr>
          <w:p w:rsidR="00AF2E3C" w:rsidRPr="00D71110" w:rsidRDefault="00AF2E3C" w:rsidP="00161D65">
            <w:pPr>
              <w:rPr>
                <w:rFonts w:ascii="Verdana" w:hAnsi="Verdana"/>
                <w:b/>
                <w:noProof/>
              </w:rPr>
            </w:pPr>
            <w:r w:rsidRPr="00D71110">
              <w:rPr>
                <w:rFonts w:ascii="Verdana" w:hAnsi="Verdana"/>
                <w:b/>
                <w:noProof/>
              </w:rPr>
              <w:t>Version:</w:t>
            </w:r>
          </w:p>
        </w:tc>
        <w:tc>
          <w:tcPr>
            <w:tcW w:w="7128" w:type="dxa"/>
          </w:tcPr>
          <w:p w:rsidR="00AF2E3C" w:rsidRPr="00D71110" w:rsidRDefault="00D71110" w:rsidP="00EE1A38">
            <w:pPr>
              <w:rPr>
                <w:rFonts w:ascii="Verdana" w:hAnsi="Verdana"/>
              </w:rPr>
            </w:pPr>
            <w:r w:rsidRPr="00D71110">
              <w:rPr>
                <w:rFonts w:ascii="Verdana" w:hAnsi="Verdana"/>
              </w:rPr>
              <w:t>1.0</w:t>
            </w:r>
          </w:p>
        </w:tc>
      </w:tr>
      <w:tr w:rsidR="003738F2" w:rsidRPr="00161D65" w:rsidTr="00161D65">
        <w:tc>
          <w:tcPr>
            <w:tcW w:w="3330" w:type="dxa"/>
          </w:tcPr>
          <w:p w:rsidR="003738F2" w:rsidRPr="00D71110" w:rsidRDefault="003738F2" w:rsidP="00161D65">
            <w:pPr>
              <w:rPr>
                <w:rFonts w:ascii="Verdana" w:hAnsi="Verdana"/>
                <w:b/>
                <w:noProof/>
              </w:rPr>
            </w:pPr>
            <w:r w:rsidRPr="00D71110">
              <w:rPr>
                <w:rFonts w:ascii="Verdana" w:hAnsi="Verdana"/>
                <w:b/>
                <w:noProof/>
              </w:rPr>
              <w:t>Last Updated Date:</w:t>
            </w:r>
          </w:p>
        </w:tc>
        <w:tc>
          <w:tcPr>
            <w:tcW w:w="7128" w:type="dxa"/>
          </w:tcPr>
          <w:p w:rsidR="003738F2" w:rsidRPr="00D71110" w:rsidRDefault="001453D5" w:rsidP="00254DE3">
            <w:pPr>
              <w:rPr>
                <w:rFonts w:ascii="Verdana" w:hAnsi="Verdana"/>
              </w:rPr>
            </w:pPr>
            <w:r>
              <w:rPr>
                <w:rFonts w:ascii="Verdana" w:hAnsi="Verdana"/>
              </w:rPr>
              <w:t>11/11</w:t>
            </w:r>
            <w:bookmarkStart w:id="0" w:name="_GoBack"/>
            <w:bookmarkEnd w:id="0"/>
            <w:r w:rsidR="00D71110" w:rsidRPr="00D71110">
              <w:rPr>
                <w:rFonts w:ascii="Verdana" w:hAnsi="Verdana"/>
              </w:rPr>
              <w:t>/2015</w:t>
            </w:r>
          </w:p>
        </w:tc>
      </w:tr>
      <w:tr w:rsidR="000B12F4" w:rsidRPr="00161D65" w:rsidTr="00161D65">
        <w:tc>
          <w:tcPr>
            <w:tcW w:w="3330" w:type="dxa"/>
          </w:tcPr>
          <w:p w:rsidR="000B12F4" w:rsidRPr="00D71110" w:rsidRDefault="000B12F4" w:rsidP="00C268F6">
            <w:pPr>
              <w:rPr>
                <w:rFonts w:ascii="Verdana" w:hAnsi="Verdana"/>
                <w:b/>
                <w:noProof/>
              </w:rPr>
            </w:pPr>
          </w:p>
        </w:tc>
        <w:tc>
          <w:tcPr>
            <w:tcW w:w="7128" w:type="dxa"/>
          </w:tcPr>
          <w:p w:rsidR="000B12F4" w:rsidRPr="00D71110" w:rsidRDefault="000B12F4" w:rsidP="00800551">
            <w:pPr>
              <w:rPr>
                <w:rFonts w:ascii="Verdana" w:hAnsi="Verdana"/>
                <w:noProof/>
              </w:rPr>
            </w:pPr>
          </w:p>
        </w:tc>
      </w:tr>
      <w:tr w:rsidR="000B12F4" w:rsidRPr="00161D65" w:rsidTr="00161D65">
        <w:tc>
          <w:tcPr>
            <w:tcW w:w="3330" w:type="dxa"/>
          </w:tcPr>
          <w:p w:rsidR="000B12F4" w:rsidRPr="0050640F" w:rsidRDefault="0050640F" w:rsidP="0050640F">
            <w:pPr>
              <w:rPr>
                <w:rFonts w:ascii="Verdana" w:hAnsi="Verdana"/>
                <w:noProof/>
              </w:rPr>
            </w:pPr>
            <w:r>
              <w:rPr>
                <w:rFonts w:ascii="Verdana" w:hAnsi="Verdana"/>
                <w:noProof/>
              </w:rPr>
              <w:t xml:space="preserve">Instructions for running a single award Federal Financial Report are included in the </w:t>
            </w:r>
            <w:r w:rsidRPr="0050640F">
              <w:rPr>
                <w:rFonts w:ascii="Verdana" w:hAnsi="Verdana"/>
                <w:b/>
                <w:i/>
                <w:noProof/>
              </w:rPr>
              <w:t>A</w:t>
            </w:r>
            <w:r>
              <w:rPr>
                <w:rFonts w:ascii="Verdana" w:hAnsi="Verdana"/>
                <w:noProof/>
              </w:rPr>
              <w:t xml:space="preserve"> steps of the instructions.  The </w:t>
            </w:r>
            <w:r w:rsidRPr="0050640F">
              <w:rPr>
                <w:rFonts w:ascii="Verdana" w:hAnsi="Verdana"/>
                <w:b/>
                <w:i/>
                <w:noProof/>
              </w:rPr>
              <w:t>B</w:t>
            </w:r>
            <w:r>
              <w:rPr>
                <w:rFonts w:ascii="Verdana" w:hAnsi="Verdana"/>
                <w:noProof/>
              </w:rPr>
              <w:t xml:space="preserve"> steps are for running the report for multiple awards using the same LOC ID.</w:t>
            </w:r>
          </w:p>
        </w:tc>
        <w:tc>
          <w:tcPr>
            <w:tcW w:w="7128" w:type="dxa"/>
          </w:tcPr>
          <w:p w:rsidR="00173A8A" w:rsidRDefault="00D71110" w:rsidP="00173A8A">
            <w:pPr>
              <w:rPr>
                <w:rFonts w:ascii="Verdana" w:hAnsi="Verdana"/>
                <w:noProof/>
              </w:rPr>
            </w:pPr>
            <w:r>
              <w:rPr>
                <w:rFonts w:ascii="Verdana" w:hAnsi="Verdana"/>
                <w:noProof/>
              </w:rPr>
              <w:t>The Federal Financial Report (FFR)</w:t>
            </w:r>
            <w:r w:rsidR="0050640F">
              <w:rPr>
                <w:rFonts w:ascii="Verdana" w:hAnsi="Verdana"/>
                <w:noProof/>
              </w:rPr>
              <w:t>,</w:t>
            </w:r>
            <w:r>
              <w:rPr>
                <w:rFonts w:ascii="Verdana" w:hAnsi="Verdana"/>
                <w:noProof/>
              </w:rPr>
              <w:t xml:space="preserve"> or SF 425</w:t>
            </w:r>
            <w:r w:rsidR="0050640F">
              <w:rPr>
                <w:rFonts w:ascii="Verdana" w:hAnsi="Verdana"/>
                <w:noProof/>
              </w:rPr>
              <w:t>,</w:t>
            </w:r>
            <w:r>
              <w:rPr>
                <w:rFonts w:ascii="Verdana" w:hAnsi="Verdana"/>
                <w:noProof/>
              </w:rPr>
              <w:t xml:space="preserve"> has been released with the 9.2 Upgrade.  While preliminary testing proved successful, because of the many </w:t>
            </w:r>
            <w:r w:rsidR="00881A5E">
              <w:rPr>
                <w:rFonts w:ascii="Verdana" w:hAnsi="Verdana"/>
                <w:noProof/>
              </w:rPr>
              <w:t xml:space="preserve">similar, but </w:t>
            </w:r>
            <w:r>
              <w:rPr>
                <w:rFonts w:ascii="Verdana" w:hAnsi="Verdana"/>
                <w:noProof/>
              </w:rPr>
              <w:t xml:space="preserve">different ways agencies use the Grants, Customer Contracts, and Project Costing modules, the accuracy of this report has not been </w:t>
            </w:r>
            <w:r w:rsidR="00146C74">
              <w:rPr>
                <w:rFonts w:ascii="Verdana" w:hAnsi="Verdana"/>
                <w:noProof/>
              </w:rPr>
              <w:t>thoroughly</w:t>
            </w:r>
            <w:r>
              <w:rPr>
                <w:rFonts w:ascii="Verdana" w:hAnsi="Verdana"/>
                <w:noProof/>
              </w:rPr>
              <w:t xml:space="preserve"> tested</w:t>
            </w:r>
            <w:r w:rsidR="00146C74">
              <w:rPr>
                <w:rFonts w:ascii="Verdana" w:hAnsi="Verdana"/>
                <w:noProof/>
              </w:rPr>
              <w:t xml:space="preserve"> for each Business Unit</w:t>
            </w:r>
            <w:r>
              <w:rPr>
                <w:rFonts w:ascii="Verdana" w:hAnsi="Verdana"/>
                <w:noProof/>
              </w:rPr>
              <w:t>.  Modifications were made to accommodate</w:t>
            </w:r>
            <w:r w:rsidR="00146C74">
              <w:rPr>
                <w:rFonts w:ascii="Verdana" w:hAnsi="Verdana"/>
                <w:noProof/>
              </w:rPr>
              <w:t xml:space="preserve"> Blue Bird</w:t>
            </w:r>
            <w:r w:rsidR="00263C60">
              <w:rPr>
                <w:rFonts w:ascii="Verdana" w:hAnsi="Verdana"/>
                <w:noProof/>
              </w:rPr>
              <w:t xml:space="preserve"> awards.  At the time this job aid is being prepared, the best recommendation is to continue using the current agency pro</w:t>
            </w:r>
            <w:r w:rsidR="002B65B5">
              <w:rPr>
                <w:rFonts w:ascii="Verdana" w:hAnsi="Verdana"/>
                <w:noProof/>
              </w:rPr>
              <w:t>cesses</w:t>
            </w:r>
            <w:r w:rsidR="00263C60">
              <w:rPr>
                <w:rFonts w:ascii="Verdana" w:hAnsi="Verdana"/>
                <w:noProof/>
              </w:rPr>
              <w:t xml:space="preserve"> for preparing the Federal Financial Report and then, in addition, run the SMART version and compare the reports.  If discrepancies are found, please enter a Service Desk ticket to report the issues</w:t>
            </w:r>
            <w:r w:rsidR="00173A8A">
              <w:rPr>
                <w:rFonts w:ascii="Verdana" w:hAnsi="Verdana"/>
                <w:noProof/>
              </w:rPr>
              <w:t xml:space="preserve"> found</w:t>
            </w:r>
            <w:r w:rsidR="003A5920">
              <w:rPr>
                <w:rFonts w:ascii="Verdana" w:hAnsi="Verdana"/>
                <w:noProof/>
              </w:rPr>
              <w:t>.</w:t>
            </w:r>
            <w:r w:rsidR="00881A5E">
              <w:rPr>
                <w:rFonts w:ascii="Verdana" w:hAnsi="Verdana"/>
                <w:noProof/>
              </w:rPr>
              <w:t xml:space="preserve">  The agency process for submitting the report </w:t>
            </w:r>
            <w:r w:rsidR="0050640F">
              <w:rPr>
                <w:rFonts w:ascii="Verdana" w:hAnsi="Verdana"/>
                <w:noProof/>
              </w:rPr>
              <w:t>should</w:t>
            </w:r>
            <w:r w:rsidR="00881A5E">
              <w:rPr>
                <w:rFonts w:ascii="Verdana" w:hAnsi="Verdana"/>
                <w:noProof/>
              </w:rPr>
              <w:t xml:space="preserve"> still be followed.</w:t>
            </w:r>
          </w:p>
          <w:p w:rsidR="00173A8A" w:rsidRDefault="00173A8A" w:rsidP="00173A8A">
            <w:pPr>
              <w:rPr>
                <w:rFonts w:ascii="Verdana" w:hAnsi="Verdana"/>
                <w:noProof/>
              </w:rPr>
            </w:pPr>
          </w:p>
          <w:p w:rsidR="00173A8A" w:rsidRDefault="00173A8A" w:rsidP="00173A8A">
            <w:pPr>
              <w:rPr>
                <w:rFonts w:ascii="Verdana" w:hAnsi="Verdana"/>
                <w:noProof/>
              </w:rPr>
            </w:pPr>
            <w:r>
              <w:rPr>
                <w:rFonts w:ascii="Verdana" w:hAnsi="Verdana"/>
                <w:noProof/>
              </w:rPr>
              <w:t xml:space="preserve">Note:  The LOC ID (Letter of Credit ID) must be included on the Sponsor, then entered on the Customer Contract in order to use the multiple Grants functionality of this report.  More information on the LOC ID is available on the </w:t>
            </w:r>
            <w:r w:rsidR="003A5920">
              <w:rPr>
                <w:rFonts w:ascii="Verdana" w:hAnsi="Verdana"/>
                <w:noProof/>
              </w:rPr>
              <w:t xml:space="preserve">latest versions of the </w:t>
            </w:r>
            <w:r>
              <w:rPr>
                <w:rFonts w:ascii="Verdana" w:hAnsi="Verdana"/>
                <w:noProof/>
              </w:rPr>
              <w:t xml:space="preserve">following job aids located on SMART </w:t>
            </w:r>
            <w:r>
              <w:rPr>
                <w:rFonts w:ascii="Verdana" w:hAnsi="Verdana"/>
                <w:i/>
                <w:noProof/>
              </w:rPr>
              <w:t>Web</w:t>
            </w:r>
            <w:r>
              <w:rPr>
                <w:rFonts w:ascii="Verdana" w:hAnsi="Verdana"/>
                <w:noProof/>
              </w:rPr>
              <w:t>:</w:t>
            </w:r>
          </w:p>
          <w:p w:rsidR="00173A8A" w:rsidRDefault="00173A8A" w:rsidP="00173A8A">
            <w:pPr>
              <w:rPr>
                <w:rFonts w:ascii="Verdana" w:hAnsi="Verdana"/>
                <w:noProof/>
              </w:rPr>
            </w:pPr>
          </w:p>
          <w:p w:rsidR="00173A8A" w:rsidRPr="00173A8A" w:rsidRDefault="00173A8A" w:rsidP="00173A8A">
            <w:pPr>
              <w:rPr>
                <w:rFonts w:ascii="Verdana" w:hAnsi="Verdana"/>
                <w:i/>
                <w:noProof/>
              </w:rPr>
            </w:pPr>
            <w:r w:rsidRPr="00173A8A">
              <w:rPr>
                <w:rFonts w:ascii="Verdana" w:hAnsi="Verdana"/>
                <w:i/>
                <w:noProof/>
              </w:rPr>
              <w:t>How to Create a Customer Contract</w:t>
            </w:r>
            <w:r w:rsidR="003A5920">
              <w:rPr>
                <w:rFonts w:ascii="Verdana" w:hAnsi="Verdana"/>
                <w:i/>
                <w:noProof/>
              </w:rPr>
              <w:t xml:space="preserve"> </w:t>
            </w:r>
          </w:p>
          <w:p w:rsidR="00173A8A" w:rsidRPr="00173A8A" w:rsidRDefault="00173A8A" w:rsidP="00173A8A">
            <w:pPr>
              <w:rPr>
                <w:rFonts w:ascii="Verdana" w:hAnsi="Verdana"/>
                <w:i/>
                <w:noProof/>
              </w:rPr>
            </w:pPr>
            <w:r w:rsidRPr="00173A8A">
              <w:rPr>
                <w:rFonts w:ascii="Verdana" w:hAnsi="Verdana"/>
                <w:i/>
                <w:noProof/>
              </w:rPr>
              <w:t>Blue Bird Award Process</w:t>
            </w:r>
          </w:p>
          <w:p w:rsidR="00173A8A" w:rsidRPr="00173A8A" w:rsidRDefault="00173A8A" w:rsidP="00173A8A">
            <w:pPr>
              <w:rPr>
                <w:rFonts w:ascii="Verdana" w:hAnsi="Verdana"/>
                <w:i/>
                <w:noProof/>
              </w:rPr>
            </w:pPr>
            <w:r w:rsidRPr="00173A8A">
              <w:rPr>
                <w:rFonts w:ascii="Verdana" w:hAnsi="Verdana"/>
                <w:i/>
                <w:noProof/>
              </w:rPr>
              <w:t>Federal Draw Down Process Job Aid</w:t>
            </w:r>
          </w:p>
          <w:p w:rsidR="000B12F4" w:rsidRPr="00D71110" w:rsidRDefault="000B12F4" w:rsidP="00173A8A">
            <w:pPr>
              <w:rPr>
                <w:rFonts w:ascii="Verdana" w:hAnsi="Verdana"/>
                <w:noProof/>
              </w:rPr>
            </w:pPr>
          </w:p>
        </w:tc>
      </w:tr>
      <w:tr w:rsidR="000B12F4" w:rsidRPr="00161D65" w:rsidTr="00161D65">
        <w:tc>
          <w:tcPr>
            <w:tcW w:w="3330" w:type="dxa"/>
          </w:tcPr>
          <w:p w:rsidR="005F2EEA" w:rsidRDefault="00263C60" w:rsidP="000A7AED">
            <w:pPr>
              <w:rPr>
                <w:rFonts w:ascii="Verdana" w:hAnsi="Verdana"/>
                <w:noProof/>
              </w:rPr>
            </w:pPr>
            <w:r w:rsidRPr="00263C60">
              <w:rPr>
                <w:rFonts w:ascii="Verdana" w:hAnsi="Verdana"/>
                <w:noProof/>
              </w:rPr>
              <w:lastRenderedPageBreak/>
              <w:t>Step 1</w:t>
            </w:r>
            <w:r>
              <w:rPr>
                <w:rFonts w:ascii="Verdana" w:hAnsi="Verdana"/>
                <w:noProof/>
              </w:rPr>
              <w:t xml:space="preserve">.  Navigation:  Grants &gt; Interactive Reports &gt; Federal Financial Report &gt; </w:t>
            </w:r>
            <w:r w:rsidRPr="00263C60">
              <w:rPr>
                <w:rFonts w:ascii="Verdana" w:hAnsi="Verdana"/>
                <w:i/>
                <w:noProof/>
              </w:rPr>
              <w:t>Add a New Value</w:t>
            </w:r>
            <w:r>
              <w:rPr>
                <w:rFonts w:ascii="Verdana" w:hAnsi="Verdana"/>
                <w:noProof/>
              </w:rPr>
              <w:t xml:space="preserve"> tab.  Create a new run control</w:t>
            </w:r>
            <w:r w:rsidR="005F2EEA">
              <w:rPr>
                <w:rFonts w:ascii="Verdana" w:hAnsi="Verdana"/>
                <w:noProof/>
              </w:rPr>
              <w:t xml:space="preserve">.  Click </w:t>
            </w:r>
            <w:r w:rsidR="005F2EEA" w:rsidRPr="005F2EEA">
              <w:rPr>
                <w:rFonts w:ascii="Verdana" w:hAnsi="Verdana"/>
                <w:i/>
                <w:noProof/>
              </w:rPr>
              <w:t>Add</w:t>
            </w:r>
            <w:r w:rsidR="005F2EEA">
              <w:rPr>
                <w:rFonts w:ascii="Verdana" w:hAnsi="Verdana"/>
                <w:noProof/>
              </w:rPr>
              <w:t xml:space="preserve">. </w:t>
            </w:r>
          </w:p>
          <w:p w:rsidR="005F2EEA" w:rsidRDefault="005F2EEA" w:rsidP="000A7AED">
            <w:pPr>
              <w:rPr>
                <w:rFonts w:ascii="Verdana" w:hAnsi="Verdana"/>
                <w:noProof/>
              </w:rPr>
            </w:pPr>
          </w:p>
          <w:p w:rsidR="005F2EEA" w:rsidRPr="00263C60" w:rsidRDefault="005F2EEA" w:rsidP="000A7AED">
            <w:pPr>
              <w:rPr>
                <w:rFonts w:ascii="Verdana" w:hAnsi="Verdana"/>
                <w:noProof/>
              </w:rPr>
            </w:pPr>
            <w:r>
              <w:rPr>
                <w:rFonts w:ascii="Verdana" w:hAnsi="Verdana"/>
                <w:noProof/>
              </w:rPr>
              <w:t xml:space="preserve">Note:  The subsequent times the report is run, the user should be able to pull up the same run control by selecting the </w:t>
            </w:r>
            <w:r w:rsidRPr="005F2EEA">
              <w:rPr>
                <w:rFonts w:ascii="Verdana" w:hAnsi="Verdana"/>
                <w:i/>
                <w:noProof/>
              </w:rPr>
              <w:t>Find an Existing Value</w:t>
            </w:r>
            <w:r>
              <w:rPr>
                <w:rFonts w:ascii="Verdana" w:hAnsi="Verdana"/>
                <w:noProof/>
              </w:rPr>
              <w:t xml:space="preserve"> tab.</w:t>
            </w:r>
          </w:p>
        </w:tc>
        <w:tc>
          <w:tcPr>
            <w:tcW w:w="7128" w:type="dxa"/>
          </w:tcPr>
          <w:p w:rsidR="000B12F4" w:rsidRPr="00D71110" w:rsidRDefault="001453D5" w:rsidP="00800551">
            <w:pPr>
              <w:rPr>
                <w:rFonts w:ascii="Verdana" w:hAnsi="Verdana"/>
                <w:noProof/>
              </w:rPr>
            </w:pPr>
            <w:r>
              <w:rPr>
                <w:noProof/>
              </w:rPr>
              <w:pict>
                <v:shape id="Picture 1" o:spid="_x0000_i1026" type="#_x0000_t75" style="width:349.15pt;height:197pt;visibility:visible;mso-wrap-style:square">
                  <v:imagedata r:id="rId11" o:title=""/>
                </v:shape>
              </w:pict>
            </w:r>
          </w:p>
        </w:tc>
      </w:tr>
      <w:tr w:rsidR="000A7AED" w:rsidRPr="00161D65" w:rsidTr="00161D65">
        <w:tc>
          <w:tcPr>
            <w:tcW w:w="3330" w:type="dxa"/>
          </w:tcPr>
          <w:p w:rsidR="000A7AED" w:rsidRPr="00D71110" w:rsidRDefault="000A7AED" w:rsidP="000A7AED">
            <w:pPr>
              <w:rPr>
                <w:rFonts w:ascii="Verdana" w:hAnsi="Verdana"/>
                <w:b/>
                <w:noProof/>
              </w:rPr>
            </w:pPr>
          </w:p>
        </w:tc>
        <w:tc>
          <w:tcPr>
            <w:tcW w:w="7128" w:type="dxa"/>
          </w:tcPr>
          <w:p w:rsidR="000A7AED" w:rsidRPr="00D71110" w:rsidRDefault="000A7AED" w:rsidP="00800551">
            <w:pPr>
              <w:rPr>
                <w:rFonts w:ascii="Verdana" w:hAnsi="Verdana"/>
                <w:noProof/>
              </w:rPr>
            </w:pPr>
          </w:p>
        </w:tc>
      </w:tr>
      <w:tr w:rsidR="000A7AED" w:rsidRPr="00161D65" w:rsidTr="00161D65">
        <w:tc>
          <w:tcPr>
            <w:tcW w:w="3330" w:type="dxa"/>
          </w:tcPr>
          <w:p w:rsidR="00173A8A" w:rsidRDefault="005F2EEA" w:rsidP="00C77DAD">
            <w:pPr>
              <w:rPr>
                <w:rFonts w:ascii="Verdana" w:hAnsi="Verdana"/>
                <w:noProof/>
              </w:rPr>
            </w:pPr>
            <w:r>
              <w:rPr>
                <w:rFonts w:ascii="Verdana" w:hAnsi="Verdana"/>
                <w:noProof/>
              </w:rPr>
              <w:t xml:space="preserve">Step 2. </w:t>
            </w:r>
            <w:r w:rsidR="00173A8A">
              <w:rPr>
                <w:rFonts w:ascii="Verdana" w:hAnsi="Verdana"/>
                <w:noProof/>
              </w:rPr>
              <w:t>When the run control page displays, enter the following information:</w:t>
            </w:r>
          </w:p>
          <w:p w:rsidR="00173A8A" w:rsidRDefault="00173A8A" w:rsidP="00C77DAD">
            <w:pPr>
              <w:rPr>
                <w:rFonts w:ascii="Verdana" w:hAnsi="Verdana"/>
                <w:noProof/>
              </w:rPr>
            </w:pPr>
          </w:p>
          <w:p w:rsidR="00173A8A" w:rsidRPr="00D337A6" w:rsidRDefault="00173A8A" w:rsidP="00C77DAD">
            <w:pPr>
              <w:rPr>
                <w:rFonts w:ascii="Verdana" w:hAnsi="Verdana"/>
                <w:i/>
                <w:noProof/>
              </w:rPr>
            </w:pPr>
            <w:r w:rsidRPr="00D337A6">
              <w:rPr>
                <w:rFonts w:ascii="Verdana" w:hAnsi="Verdana"/>
                <w:i/>
                <w:noProof/>
              </w:rPr>
              <w:t>Business Unit</w:t>
            </w:r>
          </w:p>
          <w:p w:rsidR="00173A8A" w:rsidRPr="00D337A6" w:rsidRDefault="00173A8A" w:rsidP="00C77DAD">
            <w:pPr>
              <w:rPr>
                <w:rFonts w:ascii="Verdana" w:hAnsi="Verdana"/>
                <w:i/>
                <w:noProof/>
              </w:rPr>
            </w:pPr>
            <w:r w:rsidRPr="00D337A6">
              <w:rPr>
                <w:rFonts w:ascii="Verdana" w:hAnsi="Verdana"/>
                <w:i/>
                <w:noProof/>
              </w:rPr>
              <w:t>Certifying Official</w:t>
            </w:r>
          </w:p>
          <w:p w:rsidR="00173A8A" w:rsidRPr="00D337A6" w:rsidRDefault="00173A8A" w:rsidP="00C77DAD">
            <w:pPr>
              <w:rPr>
                <w:rFonts w:ascii="Verdana" w:hAnsi="Verdana"/>
                <w:i/>
                <w:noProof/>
              </w:rPr>
            </w:pPr>
            <w:r w:rsidRPr="00D337A6">
              <w:rPr>
                <w:rFonts w:ascii="Verdana" w:hAnsi="Verdana"/>
                <w:i/>
                <w:noProof/>
              </w:rPr>
              <w:t>Begin Date</w:t>
            </w:r>
          </w:p>
          <w:p w:rsidR="00D337A6" w:rsidRPr="00D337A6" w:rsidRDefault="00D337A6" w:rsidP="00C77DAD">
            <w:pPr>
              <w:rPr>
                <w:rFonts w:ascii="Verdana" w:hAnsi="Verdana"/>
                <w:i/>
                <w:noProof/>
              </w:rPr>
            </w:pPr>
            <w:r w:rsidRPr="00D337A6">
              <w:rPr>
                <w:rFonts w:ascii="Verdana" w:hAnsi="Verdana"/>
                <w:i/>
                <w:noProof/>
              </w:rPr>
              <w:t>End Date</w:t>
            </w:r>
          </w:p>
          <w:p w:rsidR="00173A8A" w:rsidRPr="00D337A6" w:rsidRDefault="00173A8A" w:rsidP="00C77DAD">
            <w:pPr>
              <w:rPr>
                <w:rFonts w:ascii="Verdana" w:hAnsi="Verdana"/>
                <w:i/>
                <w:noProof/>
              </w:rPr>
            </w:pPr>
            <w:r w:rsidRPr="00D337A6">
              <w:rPr>
                <w:rFonts w:ascii="Verdana" w:hAnsi="Verdana"/>
                <w:i/>
                <w:noProof/>
              </w:rPr>
              <w:t>Report Due Date</w:t>
            </w:r>
          </w:p>
          <w:p w:rsidR="00D337A6" w:rsidRPr="00D337A6" w:rsidRDefault="00173A8A" w:rsidP="00C77DAD">
            <w:pPr>
              <w:rPr>
                <w:rFonts w:ascii="Verdana" w:hAnsi="Verdana"/>
                <w:i/>
                <w:noProof/>
              </w:rPr>
            </w:pPr>
            <w:r w:rsidRPr="00D337A6">
              <w:rPr>
                <w:rFonts w:ascii="Verdana" w:hAnsi="Verdana"/>
                <w:i/>
                <w:noProof/>
              </w:rPr>
              <w:t>Submission Date</w:t>
            </w:r>
          </w:p>
          <w:p w:rsidR="00D337A6" w:rsidRDefault="00D337A6" w:rsidP="00C77DAD">
            <w:pPr>
              <w:rPr>
                <w:rFonts w:ascii="Verdana" w:hAnsi="Verdana"/>
                <w:noProof/>
              </w:rPr>
            </w:pPr>
          </w:p>
          <w:p w:rsidR="00D337A6" w:rsidRDefault="00D337A6" w:rsidP="00C77DAD">
            <w:pPr>
              <w:rPr>
                <w:rFonts w:ascii="Verdana" w:hAnsi="Verdana"/>
                <w:noProof/>
              </w:rPr>
            </w:pPr>
          </w:p>
          <w:p w:rsidR="000A7AED" w:rsidRPr="00D71110" w:rsidRDefault="000A7AED" w:rsidP="00C77DAD">
            <w:pPr>
              <w:rPr>
                <w:rFonts w:ascii="Verdana" w:hAnsi="Verdana"/>
                <w:noProof/>
              </w:rPr>
            </w:pPr>
          </w:p>
        </w:tc>
        <w:tc>
          <w:tcPr>
            <w:tcW w:w="7128" w:type="dxa"/>
          </w:tcPr>
          <w:p w:rsidR="000A7AED" w:rsidRPr="00D71110" w:rsidRDefault="001453D5" w:rsidP="00800551">
            <w:pPr>
              <w:rPr>
                <w:rFonts w:ascii="Verdana" w:hAnsi="Verdana"/>
                <w:noProof/>
              </w:rPr>
            </w:pPr>
            <w:r>
              <w:rPr>
                <w:noProof/>
              </w:rPr>
              <w:pict>
                <v:shape id="_x0000_i1027" type="#_x0000_t75" style="width:352.55pt;height:160.3pt;visibility:visible;mso-wrap-style:square">
                  <v:imagedata r:id="rId12" o:title=""/>
                </v:shape>
              </w:pict>
            </w:r>
          </w:p>
        </w:tc>
      </w:tr>
      <w:tr w:rsidR="005D69D6" w:rsidRPr="00161D65" w:rsidTr="00161D65">
        <w:tc>
          <w:tcPr>
            <w:tcW w:w="3330" w:type="dxa"/>
          </w:tcPr>
          <w:p w:rsidR="005D69D6" w:rsidRPr="00D71110" w:rsidRDefault="005D69D6" w:rsidP="005D69D6">
            <w:pPr>
              <w:rPr>
                <w:rFonts w:ascii="Verdana" w:hAnsi="Verdana"/>
                <w:noProof/>
              </w:rPr>
            </w:pPr>
          </w:p>
        </w:tc>
        <w:tc>
          <w:tcPr>
            <w:tcW w:w="7128" w:type="dxa"/>
          </w:tcPr>
          <w:p w:rsidR="005D69D6" w:rsidRPr="00D71110" w:rsidRDefault="005D69D6" w:rsidP="00800551">
            <w:pPr>
              <w:rPr>
                <w:rFonts w:ascii="Verdana" w:hAnsi="Verdana"/>
                <w:noProof/>
              </w:rPr>
            </w:pPr>
          </w:p>
        </w:tc>
      </w:tr>
      <w:tr w:rsidR="005D69D6" w:rsidRPr="00161D65" w:rsidTr="00161D65">
        <w:tc>
          <w:tcPr>
            <w:tcW w:w="3330" w:type="dxa"/>
          </w:tcPr>
          <w:p w:rsidR="005D69D6" w:rsidRPr="00D71110" w:rsidRDefault="00AB0736" w:rsidP="00AB0736">
            <w:pPr>
              <w:rPr>
                <w:rFonts w:ascii="Verdana" w:hAnsi="Verdana"/>
                <w:noProof/>
              </w:rPr>
            </w:pPr>
            <w:r>
              <w:rPr>
                <w:rFonts w:ascii="Verdana" w:hAnsi="Verdana"/>
                <w:noProof/>
              </w:rPr>
              <w:t xml:space="preserve">Step 2A.  For a single award, the </w:t>
            </w:r>
            <w:r w:rsidRPr="00D337A6">
              <w:rPr>
                <w:rFonts w:ascii="Verdana" w:hAnsi="Verdana"/>
                <w:i/>
                <w:noProof/>
              </w:rPr>
              <w:t>Award Number</w:t>
            </w:r>
            <w:r>
              <w:rPr>
                <w:rFonts w:ascii="Verdana" w:hAnsi="Verdana"/>
                <w:noProof/>
              </w:rPr>
              <w:t xml:space="preserve"> can be located by using the lookup.  Add the </w:t>
            </w:r>
            <w:r w:rsidRPr="00AB0736">
              <w:rPr>
                <w:rFonts w:ascii="Verdana" w:hAnsi="Verdana"/>
                <w:i/>
                <w:noProof/>
              </w:rPr>
              <w:t>Line Number</w:t>
            </w:r>
            <w:r>
              <w:rPr>
                <w:rFonts w:ascii="Verdana" w:hAnsi="Verdana"/>
                <w:noProof/>
              </w:rPr>
              <w:t xml:space="preserve"> of the contract.  Toggle the </w:t>
            </w:r>
            <w:r w:rsidRPr="00D337A6">
              <w:rPr>
                <w:rFonts w:ascii="Verdana" w:hAnsi="Verdana"/>
                <w:i/>
                <w:noProof/>
              </w:rPr>
              <w:t>Report Type</w:t>
            </w:r>
            <w:r>
              <w:rPr>
                <w:rFonts w:ascii="Verdana" w:hAnsi="Verdana"/>
                <w:noProof/>
              </w:rPr>
              <w:t xml:space="preserve"> to the appropriate selection.  </w:t>
            </w:r>
            <w:r w:rsidR="009F7187">
              <w:rPr>
                <w:rFonts w:ascii="Verdana" w:hAnsi="Verdana"/>
                <w:noProof/>
              </w:rPr>
              <w:t xml:space="preserve">Enter any of the additional information pertaining to the award.  </w:t>
            </w:r>
            <w:r>
              <w:rPr>
                <w:rFonts w:ascii="Verdana" w:hAnsi="Verdana"/>
                <w:noProof/>
              </w:rPr>
              <w:t xml:space="preserve">If this is a Blue Bird award, the Contracts Billing Limit radio button should be selected.  Click </w:t>
            </w:r>
            <w:r w:rsidRPr="00AB0736">
              <w:rPr>
                <w:rFonts w:ascii="Verdana" w:hAnsi="Verdana"/>
                <w:i/>
                <w:noProof/>
              </w:rPr>
              <w:t>Save</w:t>
            </w:r>
            <w:r>
              <w:rPr>
                <w:rFonts w:ascii="Verdana" w:hAnsi="Verdana"/>
                <w:noProof/>
              </w:rPr>
              <w:t xml:space="preserve">.  Click </w:t>
            </w:r>
            <w:r w:rsidRPr="00AB0736">
              <w:rPr>
                <w:rFonts w:ascii="Verdana" w:hAnsi="Verdana"/>
                <w:i/>
                <w:noProof/>
              </w:rPr>
              <w:t>Run</w:t>
            </w:r>
            <w:r>
              <w:rPr>
                <w:rFonts w:ascii="Verdana" w:hAnsi="Verdana"/>
                <w:noProof/>
              </w:rPr>
              <w:t xml:space="preserve">.  Click </w:t>
            </w:r>
            <w:r w:rsidRPr="00AB0736">
              <w:rPr>
                <w:rFonts w:ascii="Verdana" w:hAnsi="Verdana"/>
                <w:i/>
                <w:noProof/>
              </w:rPr>
              <w:lastRenderedPageBreak/>
              <w:t>OK</w:t>
            </w:r>
            <w:r>
              <w:rPr>
                <w:rFonts w:ascii="Verdana" w:hAnsi="Verdana"/>
                <w:noProof/>
              </w:rPr>
              <w:t xml:space="preserve"> when the Process Scheduler Request appears.  </w:t>
            </w:r>
          </w:p>
        </w:tc>
        <w:tc>
          <w:tcPr>
            <w:tcW w:w="7128" w:type="dxa"/>
          </w:tcPr>
          <w:p w:rsidR="005D69D6" w:rsidRPr="00D71110" w:rsidRDefault="001453D5" w:rsidP="00800551">
            <w:pPr>
              <w:rPr>
                <w:rFonts w:ascii="Verdana" w:hAnsi="Verdana"/>
                <w:noProof/>
              </w:rPr>
            </w:pPr>
            <w:r>
              <w:rPr>
                <w:noProof/>
              </w:rPr>
              <w:lastRenderedPageBreak/>
              <w:pict>
                <v:shape id="_x0000_i1028" type="#_x0000_t75" style="width:350.5pt;height:162.35pt;visibility:visible;mso-wrap-style:square">
                  <v:imagedata r:id="rId13" o:title=""/>
                </v:shape>
              </w:pict>
            </w:r>
          </w:p>
        </w:tc>
      </w:tr>
      <w:tr w:rsidR="00AB0736" w:rsidRPr="00161D65" w:rsidTr="00161D65">
        <w:tc>
          <w:tcPr>
            <w:tcW w:w="3330" w:type="dxa"/>
          </w:tcPr>
          <w:p w:rsidR="00AB0736" w:rsidRDefault="00AB0736" w:rsidP="00D337A6">
            <w:pPr>
              <w:rPr>
                <w:rFonts w:ascii="Verdana" w:hAnsi="Verdana"/>
                <w:noProof/>
              </w:rPr>
            </w:pPr>
          </w:p>
        </w:tc>
        <w:tc>
          <w:tcPr>
            <w:tcW w:w="7128" w:type="dxa"/>
          </w:tcPr>
          <w:p w:rsidR="00AB0736" w:rsidRPr="00D71110" w:rsidRDefault="00AB0736" w:rsidP="00800551">
            <w:pPr>
              <w:rPr>
                <w:rFonts w:ascii="Verdana" w:hAnsi="Verdana"/>
                <w:noProof/>
              </w:rPr>
            </w:pPr>
          </w:p>
        </w:tc>
      </w:tr>
      <w:tr w:rsidR="00AB0736" w:rsidRPr="00161D65" w:rsidTr="00161D65">
        <w:tc>
          <w:tcPr>
            <w:tcW w:w="3330" w:type="dxa"/>
          </w:tcPr>
          <w:p w:rsidR="00AB0736" w:rsidRDefault="00146C74" w:rsidP="00AB0736">
            <w:pPr>
              <w:rPr>
                <w:rFonts w:ascii="Verdana" w:hAnsi="Verdana"/>
                <w:noProof/>
              </w:rPr>
            </w:pPr>
            <w:r>
              <w:rPr>
                <w:rFonts w:ascii="Verdana" w:hAnsi="Verdana"/>
                <w:noProof/>
              </w:rPr>
              <w:t>Step 2B.  For multiple awards</w:t>
            </w:r>
            <w:r w:rsidR="00AB0736" w:rsidRPr="00AB0736">
              <w:rPr>
                <w:rFonts w:ascii="Verdana" w:hAnsi="Verdana"/>
                <w:noProof/>
              </w:rPr>
              <w:t xml:space="preserve"> us</w:t>
            </w:r>
            <w:r w:rsidR="00FB2A8D">
              <w:rPr>
                <w:rFonts w:ascii="Verdana" w:hAnsi="Verdana"/>
                <w:noProof/>
              </w:rPr>
              <w:t xml:space="preserve">ing the LOC ID, select the </w:t>
            </w:r>
            <w:r w:rsidR="00FB2A8D" w:rsidRPr="00FB2A8D">
              <w:rPr>
                <w:rFonts w:ascii="Verdana" w:hAnsi="Verdana"/>
                <w:i/>
                <w:noProof/>
              </w:rPr>
              <w:t>Repor</w:t>
            </w:r>
            <w:r w:rsidR="00AB0736" w:rsidRPr="00FB2A8D">
              <w:rPr>
                <w:rFonts w:ascii="Verdana" w:hAnsi="Verdana"/>
                <w:i/>
                <w:noProof/>
              </w:rPr>
              <w:t>ting Multiple Gran</w:t>
            </w:r>
            <w:r w:rsidR="00FB2A8D" w:rsidRPr="00FB2A8D">
              <w:rPr>
                <w:rFonts w:ascii="Verdana" w:hAnsi="Verdana"/>
                <w:i/>
                <w:noProof/>
              </w:rPr>
              <w:t>ts</w:t>
            </w:r>
            <w:r w:rsidR="00FB2A8D">
              <w:rPr>
                <w:rFonts w:ascii="Verdana" w:hAnsi="Verdana"/>
                <w:noProof/>
              </w:rPr>
              <w:t xml:space="preserve"> checkbox.  The Reporting Multiple Grants grid area </w:t>
            </w:r>
            <w:r w:rsidR="00AB0736" w:rsidRPr="00AB0736">
              <w:rPr>
                <w:rFonts w:ascii="Verdana" w:hAnsi="Verdana"/>
                <w:noProof/>
              </w:rPr>
              <w:t>display</w:t>
            </w:r>
            <w:r w:rsidR="00FB2A8D">
              <w:rPr>
                <w:rFonts w:ascii="Verdana" w:hAnsi="Verdana"/>
                <w:noProof/>
              </w:rPr>
              <w:t xml:space="preserve">s.  Enter the </w:t>
            </w:r>
            <w:r w:rsidR="00FB2A8D" w:rsidRPr="00FB2A8D">
              <w:rPr>
                <w:rFonts w:ascii="Verdana" w:hAnsi="Verdana"/>
                <w:i/>
                <w:noProof/>
              </w:rPr>
              <w:t>LOC Sponsor</w:t>
            </w:r>
            <w:r w:rsidR="00FB2A8D">
              <w:rPr>
                <w:rFonts w:ascii="Verdana" w:hAnsi="Verdana"/>
                <w:noProof/>
              </w:rPr>
              <w:t xml:space="preserve">, </w:t>
            </w:r>
            <w:r w:rsidR="00FB2A8D" w:rsidRPr="00FB2A8D">
              <w:rPr>
                <w:rFonts w:ascii="Verdana" w:hAnsi="Verdana"/>
                <w:i/>
                <w:noProof/>
              </w:rPr>
              <w:t>LOC ID</w:t>
            </w:r>
            <w:r w:rsidR="00FB2A8D">
              <w:rPr>
                <w:rFonts w:ascii="Verdana" w:hAnsi="Verdana"/>
                <w:noProof/>
              </w:rPr>
              <w:t xml:space="preserve">, and the </w:t>
            </w:r>
            <w:r w:rsidR="00FB2A8D" w:rsidRPr="00FB2A8D">
              <w:rPr>
                <w:rFonts w:ascii="Verdana" w:hAnsi="Verdana"/>
                <w:i/>
                <w:noProof/>
              </w:rPr>
              <w:t>Institution ID</w:t>
            </w:r>
            <w:r w:rsidR="00FB2A8D">
              <w:rPr>
                <w:rFonts w:ascii="Verdana" w:hAnsi="Verdana"/>
                <w:noProof/>
              </w:rPr>
              <w:t xml:space="preserve">.  Click </w:t>
            </w:r>
            <w:r w:rsidR="00FB2A8D" w:rsidRPr="00FB2A8D">
              <w:rPr>
                <w:rFonts w:ascii="Verdana" w:hAnsi="Verdana"/>
                <w:i/>
                <w:noProof/>
              </w:rPr>
              <w:t>Save</w:t>
            </w:r>
            <w:r w:rsidR="00FB2A8D">
              <w:rPr>
                <w:rFonts w:ascii="Verdana" w:hAnsi="Verdana"/>
                <w:noProof/>
              </w:rPr>
              <w:t xml:space="preserve">.  Click </w:t>
            </w:r>
            <w:r w:rsidR="00FB2A8D" w:rsidRPr="00FB2A8D">
              <w:rPr>
                <w:rFonts w:ascii="Verdana" w:hAnsi="Verdana"/>
                <w:i/>
                <w:noProof/>
              </w:rPr>
              <w:t>Run</w:t>
            </w:r>
            <w:r w:rsidR="00FB2A8D">
              <w:rPr>
                <w:rFonts w:ascii="Verdana" w:hAnsi="Verdana"/>
                <w:noProof/>
              </w:rPr>
              <w:t xml:space="preserve">.  Click </w:t>
            </w:r>
            <w:r w:rsidR="00FB2A8D" w:rsidRPr="00AB0736">
              <w:rPr>
                <w:rFonts w:ascii="Verdana" w:hAnsi="Verdana"/>
                <w:i/>
                <w:noProof/>
              </w:rPr>
              <w:t>OK</w:t>
            </w:r>
            <w:r w:rsidR="00FB2A8D">
              <w:rPr>
                <w:rFonts w:ascii="Verdana" w:hAnsi="Verdana"/>
                <w:noProof/>
              </w:rPr>
              <w:t xml:space="preserve"> when the Process Scheduler Request appears.  </w:t>
            </w:r>
          </w:p>
        </w:tc>
        <w:tc>
          <w:tcPr>
            <w:tcW w:w="7128" w:type="dxa"/>
          </w:tcPr>
          <w:p w:rsidR="00AB0736" w:rsidRPr="00D71110" w:rsidRDefault="001453D5" w:rsidP="00800551">
            <w:pPr>
              <w:rPr>
                <w:rFonts w:ascii="Verdana" w:hAnsi="Verdana"/>
                <w:noProof/>
              </w:rPr>
            </w:pPr>
            <w:r>
              <w:rPr>
                <w:noProof/>
              </w:rPr>
              <w:pict>
                <v:shape id="_x0000_i1029" type="#_x0000_t75" style="width:348.45pt;height:178.65pt;visibility:visible;mso-wrap-style:square">
                  <v:imagedata r:id="rId14" o:title=""/>
                </v:shape>
              </w:pict>
            </w:r>
          </w:p>
        </w:tc>
      </w:tr>
      <w:tr w:rsidR="00AB0736" w:rsidRPr="00161D65" w:rsidTr="00161D65">
        <w:tc>
          <w:tcPr>
            <w:tcW w:w="3330" w:type="dxa"/>
          </w:tcPr>
          <w:p w:rsidR="00AB0736" w:rsidRPr="00AB0736" w:rsidRDefault="00AB0736" w:rsidP="00AB0736">
            <w:pPr>
              <w:rPr>
                <w:rFonts w:ascii="Verdana" w:hAnsi="Verdana"/>
                <w:noProof/>
              </w:rPr>
            </w:pPr>
          </w:p>
        </w:tc>
        <w:tc>
          <w:tcPr>
            <w:tcW w:w="7128" w:type="dxa"/>
          </w:tcPr>
          <w:p w:rsidR="00AB0736" w:rsidRPr="00D71110" w:rsidRDefault="00AB0736" w:rsidP="00800551">
            <w:pPr>
              <w:rPr>
                <w:rFonts w:ascii="Verdana" w:hAnsi="Verdana"/>
                <w:noProof/>
              </w:rPr>
            </w:pPr>
          </w:p>
        </w:tc>
      </w:tr>
      <w:tr w:rsidR="00AB0736" w:rsidRPr="00161D65" w:rsidTr="00161D65">
        <w:tc>
          <w:tcPr>
            <w:tcW w:w="3330" w:type="dxa"/>
          </w:tcPr>
          <w:p w:rsidR="00AB0736" w:rsidRPr="00AB0736" w:rsidRDefault="00AB0736" w:rsidP="000504B4">
            <w:pPr>
              <w:rPr>
                <w:rFonts w:ascii="Verdana" w:hAnsi="Verdana"/>
                <w:noProof/>
              </w:rPr>
            </w:pPr>
            <w:r>
              <w:rPr>
                <w:rFonts w:ascii="Verdana" w:hAnsi="Verdana"/>
                <w:noProof/>
              </w:rPr>
              <w:t xml:space="preserve">Step 3.  Click the </w:t>
            </w:r>
            <w:r w:rsidRPr="00FB2A8D">
              <w:rPr>
                <w:rFonts w:ascii="Verdana" w:hAnsi="Verdana"/>
                <w:i/>
                <w:noProof/>
              </w:rPr>
              <w:t>Process Monitor</w:t>
            </w:r>
            <w:r>
              <w:rPr>
                <w:rFonts w:ascii="Verdana" w:hAnsi="Verdana"/>
                <w:noProof/>
              </w:rPr>
              <w:t xml:space="preserve"> link, then </w:t>
            </w:r>
            <w:r w:rsidRPr="00FB2A8D">
              <w:rPr>
                <w:rFonts w:ascii="Verdana" w:hAnsi="Verdana"/>
                <w:i/>
                <w:noProof/>
              </w:rPr>
              <w:t>Refresh</w:t>
            </w:r>
            <w:r>
              <w:rPr>
                <w:rFonts w:ascii="Verdana" w:hAnsi="Verdana"/>
                <w:noProof/>
              </w:rPr>
              <w:t xml:space="preserve"> until the Run Status is Succes</w:t>
            </w:r>
            <w:r w:rsidR="003A5920">
              <w:rPr>
                <w:rFonts w:ascii="Verdana" w:hAnsi="Verdana"/>
                <w:noProof/>
              </w:rPr>
              <w:t xml:space="preserve">s </w:t>
            </w:r>
            <w:r>
              <w:rPr>
                <w:rFonts w:ascii="Verdana" w:hAnsi="Verdana"/>
                <w:noProof/>
              </w:rPr>
              <w:t xml:space="preserve">and Distribution Status is Posted.  </w:t>
            </w:r>
            <w:r w:rsidR="000504B4">
              <w:rPr>
                <w:rFonts w:ascii="Verdana" w:hAnsi="Verdana"/>
                <w:noProof/>
              </w:rPr>
              <w:t>T</w:t>
            </w:r>
            <w:r w:rsidR="00FB2A8D">
              <w:rPr>
                <w:rFonts w:ascii="Verdana" w:hAnsi="Verdana"/>
                <w:noProof/>
              </w:rPr>
              <w:t xml:space="preserve">hese reports are </w:t>
            </w:r>
            <w:r w:rsidR="000504B4">
              <w:rPr>
                <w:rFonts w:ascii="Verdana" w:hAnsi="Verdana"/>
                <w:noProof/>
              </w:rPr>
              <w:t xml:space="preserve">now </w:t>
            </w:r>
            <w:r w:rsidR="00FB2A8D">
              <w:rPr>
                <w:rFonts w:ascii="Verdana" w:hAnsi="Verdana"/>
                <w:noProof/>
              </w:rPr>
              <w:t>generated by BI Publisher, which is new b</w:t>
            </w:r>
            <w:r w:rsidR="000504B4">
              <w:rPr>
                <w:rFonts w:ascii="Verdana" w:hAnsi="Verdana"/>
                <w:noProof/>
              </w:rPr>
              <w:t xml:space="preserve">ehind the scenes functionality, and the </w:t>
            </w:r>
            <w:r w:rsidR="00FB2A8D">
              <w:rPr>
                <w:rFonts w:ascii="Verdana" w:hAnsi="Verdana"/>
                <w:noProof/>
              </w:rPr>
              <w:t xml:space="preserve">reports are now accessed differently.  Select the </w:t>
            </w:r>
            <w:r w:rsidR="00FB2A8D" w:rsidRPr="00FB2A8D">
              <w:rPr>
                <w:rFonts w:ascii="Verdana" w:hAnsi="Verdana"/>
                <w:i/>
                <w:noProof/>
              </w:rPr>
              <w:t>Go back to Federal Financial Report</w:t>
            </w:r>
            <w:r w:rsidR="00FB2A8D">
              <w:rPr>
                <w:rFonts w:ascii="Verdana" w:hAnsi="Verdana"/>
                <w:noProof/>
              </w:rPr>
              <w:t xml:space="preserve"> hyperlink.</w:t>
            </w:r>
          </w:p>
        </w:tc>
        <w:tc>
          <w:tcPr>
            <w:tcW w:w="7128" w:type="dxa"/>
          </w:tcPr>
          <w:p w:rsidR="00AB0736" w:rsidRPr="00D71110" w:rsidRDefault="001453D5" w:rsidP="00800551">
            <w:pPr>
              <w:rPr>
                <w:rFonts w:ascii="Verdana" w:hAnsi="Verdana"/>
                <w:noProof/>
              </w:rPr>
            </w:pPr>
            <w:r>
              <w:rPr>
                <w:noProof/>
              </w:rPr>
              <w:pict>
                <v:shape id="_x0000_i1030" type="#_x0000_t75" style="width:346.4pt;height:158.95pt;visibility:visible;mso-wrap-style:square">
                  <v:imagedata r:id="rId15" o:title=""/>
                </v:shape>
              </w:pict>
            </w:r>
          </w:p>
        </w:tc>
      </w:tr>
      <w:tr w:rsidR="00FB2A8D" w:rsidRPr="00161D65" w:rsidTr="00161D65">
        <w:tc>
          <w:tcPr>
            <w:tcW w:w="3330" w:type="dxa"/>
          </w:tcPr>
          <w:p w:rsidR="00FB2A8D" w:rsidRDefault="00FB2A8D" w:rsidP="00AB0736">
            <w:pPr>
              <w:rPr>
                <w:rFonts w:ascii="Verdana" w:hAnsi="Verdana"/>
                <w:noProof/>
              </w:rPr>
            </w:pPr>
          </w:p>
        </w:tc>
        <w:tc>
          <w:tcPr>
            <w:tcW w:w="7128" w:type="dxa"/>
          </w:tcPr>
          <w:p w:rsidR="00FB2A8D" w:rsidRPr="00A25ACC" w:rsidRDefault="00FB2A8D" w:rsidP="00800551">
            <w:pPr>
              <w:rPr>
                <w:noProof/>
              </w:rPr>
            </w:pPr>
          </w:p>
        </w:tc>
      </w:tr>
      <w:tr w:rsidR="00FB2A8D" w:rsidRPr="00161D65" w:rsidTr="00161D65">
        <w:tc>
          <w:tcPr>
            <w:tcW w:w="3330" w:type="dxa"/>
          </w:tcPr>
          <w:p w:rsidR="00FB2A8D" w:rsidRDefault="00F958B4" w:rsidP="00AB0736">
            <w:pPr>
              <w:rPr>
                <w:rFonts w:ascii="Verdana" w:hAnsi="Verdana"/>
                <w:noProof/>
              </w:rPr>
            </w:pPr>
            <w:r>
              <w:rPr>
                <w:rFonts w:ascii="Verdana" w:hAnsi="Verdana"/>
                <w:noProof/>
              </w:rPr>
              <w:t>Step 4.  Select</w:t>
            </w:r>
            <w:r w:rsidR="00FB2A8D">
              <w:rPr>
                <w:rFonts w:ascii="Verdana" w:hAnsi="Verdana"/>
                <w:noProof/>
              </w:rPr>
              <w:t xml:space="preserve"> the </w:t>
            </w:r>
            <w:r w:rsidR="00FB2A8D" w:rsidRPr="00F958B4">
              <w:rPr>
                <w:rFonts w:ascii="Verdana" w:hAnsi="Verdana"/>
                <w:i/>
                <w:noProof/>
              </w:rPr>
              <w:t>Report Manager</w:t>
            </w:r>
            <w:r w:rsidR="00FB2A8D">
              <w:rPr>
                <w:rFonts w:ascii="Verdana" w:hAnsi="Verdana"/>
                <w:noProof/>
              </w:rPr>
              <w:t xml:space="preserve"> hyperlink</w:t>
            </w:r>
            <w:r>
              <w:rPr>
                <w:rFonts w:ascii="Verdana" w:hAnsi="Verdana"/>
                <w:noProof/>
              </w:rPr>
              <w:t>, located to the left of the Process Monitor hyperlink.</w:t>
            </w:r>
          </w:p>
        </w:tc>
        <w:tc>
          <w:tcPr>
            <w:tcW w:w="7128" w:type="dxa"/>
          </w:tcPr>
          <w:p w:rsidR="00FB2A8D" w:rsidRPr="00A25ACC" w:rsidRDefault="001453D5" w:rsidP="00800551">
            <w:pPr>
              <w:rPr>
                <w:noProof/>
              </w:rPr>
            </w:pPr>
            <w:r>
              <w:rPr>
                <w:noProof/>
              </w:rPr>
              <w:pict>
                <v:shape id="_x0000_i1031" type="#_x0000_t75" style="width:348.45pt;height:67.25pt;visibility:visible;mso-wrap-style:square">
                  <v:imagedata r:id="rId16" o:title=""/>
                </v:shape>
              </w:pict>
            </w:r>
          </w:p>
        </w:tc>
      </w:tr>
      <w:tr w:rsidR="00F958B4" w:rsidRPr="00161D65" w:rsidTr="00161D65">
        <w:tc>
          <w:tcPr>
            <w:tcW w:w="3330" w:type="dxa"/>
          </w:tcPr>
          <w:p w:rsidR="00F958B4" w:rsidRDefault="00F958B4" w:rsidP="00AB0736">
            <w:pPr>
              <w:rPr>
                <w:rFonts w:ascii="Verdana" w:hAnsi="Verdana"/>
                <w:noProof/>
              </w:rPr>
            </w:pPr>
          </w:p>
        </w:tc>
        <w:tc>
          <w:tcPr>
            <w:tcW w:w="7128" w:type="dxa"/>
          </w:tcPr>
          <w:p w:rsidR="00F958B4" w:rsidRPr="00A25ACC" w:rsidRDefault="00F958B4" w:rsidP="00800551">
            <w:pPr>
              <w:rPr>
                <w:noProof/>
              </w:rPr>
            </w:pPr>
          </w:p>
        </w:tc>
      </w:tr>
      <w:tr w:rsidR="00F958B4" w:rsidRPr="00161D65" w:rsidTr="00161D65">
        <w:tc>
          <w:tcPr>
            <w:tcW w:w="3330" w:type="dxa"/>
          </w:tcPr>
          <w:p w:rsidR="00F958B4" w:rsidRDefault="00F958B4" w:rsidP="00AB0736">
            <w:pPr>
              <w:rPr>
                <w:rFonts w:ascii="Verdana" w:hAnsi="Verdana"/>
                <w:noProof/>
              </w:rPr>
            </w:pPr>
            <w:r>
              <w:rPr>
                <w:rFonts w:ascii="Verdana" w:hAnsi="Verdana"/>
                <w:noProof/>
              </w:rPr>
              <w:t xml:space="preserve">Step 5.  On the Report Manager page, select the </w:t>
            </w:r>
            <w:r w:rsidRPr="0050640F">
              <w:rPr>
                <w:rFonts w:ascii="Verdana" w:hAnsi="Verdana"/>
                <w:i/>
                <w:noProof/>
              </w:rPr>
              <w:t>Administration</w:t>
            </w:r>
            <w:r>
              <w:rPr>
                <w:rFonts w:ascii="Verdana" w:hAnsi="Verdana"/>
                <w:noProof/>
              </w:rPr>
              <w:t xml:space="preserve"> tab.  Select the hyperlink to the report.</w:t>
            </w:r>
            <w:r w:rsidR="0054648F">
              <w:rPr>
                <w:rFonts w:ascii="Verdana" w:hAnsi="Verdana"/>
                <w:noProof/>
              </w:rPr>
              <w:t xml:space="preserve">  The reports will open in a new tab of the browser.</w:t>
            </w:r>
          </w:p>
        </w:tc>
        <w:tc>
          <w:tcPr>
            <w:tcW w:w="7128" w:type="dxa"/>
          </w:tcPr>
          <w:p w:rsidR="00F958B4" w:rsidRPr="00A25ACC" w:rsidRDefault="001453D5" w:rsidP="00800551">
            <w:pPr>
              <w:rPr>
                <w:noProof/>
              </w:rPr>
            </w:pPr>
            <w:r>
              <w:rPr>
                <w:noProof/>
              </w:rPr>
              <w:pict>
                <v:shape id="_x0000_i1032" type="#_x0000_t75" style="width:468pt;height:269pt;visibility:visible;mso-wrap-style:square">
                  <v:imagedata r:id="rId17" o:title=""/>
                </v:shape>
              </w:pict>
            </w:r>
          </w:p>
        </w:tc>
      </w:tr>
      <w:tr w:rsidR="00F958B4" w:rsidRPr="00161D65" w:rsidTr="00161D65">
        <w:tc>
          <w:tcPr>
            <w:tcW w:w="3330" w:type="dxa"/>
          </w:tcPr>
          <w:p w:rsidR="00F958B4" w:rsidRDefault="00F958B4" w:rsidP="00AB0736">
            <w:pPr>
              <w:rPr>
                <w:rFonts w:ascii="Verdana" w:hAnsi="Verdana"/>
                <w:noProof/>
              </w:rPr>
            </w:pPr>
          </w:p>
        </w:tc>
        <w:tc>
          <w:tcPr>
            <w:tcW w:w="7128" w:type="dxa"/>
          </w:tcPr>
          <w:p w:rsidR="00F958B4" w:rsidRPr="00A25ACC" w:rsidRDefault="00F958B4" w:rsidP="00800551">
            <w:pPr>
              <w:rPr>
                <w:noProof/>
              </w:rPr>
            </w:pPr>
          </w:p>
        </w:tc>
      </w:tr>
      <w:tr w:rsidR="00F958B4" w:rsidRPr="00161D65" w:rsidTr="00161D65">
        <w:tc>
          <w:tcPr>
            <w:tcW w:w="3330" w:type="dxa"/>
          </w:tcPr>
          <w:p w:rsidR="00F958B4" w:rsidRDefault="00F958B4" w:rsidP="00AB0736">
            <w:pPr>
              <w:rPr>
                <w:rFonts w:ascii="Verdana" w:hAnsi="Verdana"/>
                <w:noProof/>
              </w:rPr>
            </w:pPr>
            <w:r>
              <w:rPr>
                <w:rFonts w:ascii="Verdana" w:hAnsi="Verdana"/>
                <w:noProof/>
              </w:rPr>
              <w:t>Step 6A.  The single award FFR will provide only information for the specific award.</w:t>
            </w:r>
          </w:p>
        </w:tc>
        <w:tc>
          <w:tcPr>
            <w:tcW w:w="7128" w:type="dxa"/>
          </w:tcPr>
          <w:p w:rsidR="00F958B4" w:rsidRPr="00A25ACC" w:rsidRDefault="001453D5" w:rsidP="00800551">
            <w:pPr>
              <w:rPr>
                <w:noProof/>
              </w:rPr>
            </w:pPr>
            <w:r>
              <w:rPr>
                <w:noProof/>
              </w:rPr>
              <w:pict>
                <v:shape id="_x0000_i1033" type="#_x0000_t75" style="width:347.75pt;height:417.05pt;visibility:visible;mso-wrap-style:square">
                  <v:imagedata r:id="rId18" o:title=""/>
                </v:shape>
              </w:pict>
            </w:r>
          </w:p>
        </w:tc>
      </w:tr>
      <w:tr w:rsidR="00F958B4" w:rsidRPr="00161D65" w:rsidTr="00161D65">
        <w:tc>
          <w:tcPr>
            <w:tcW w:w="3330" w:type="dxa"/>
          </w:tcPr>
          <w:p w:rsidR="00F958B4" w:rsidRDefault="00F958B4" w:rsidP="00AB0736">
            <w:pPr>
              <w:rPr>
                <w:rFonts w:ascii="Verdana" w:hAnsi="Verdana"/>
                <w:noProof/>
              </w:rPr>
            </w:pPr>
          </w:p>
        </w:tc>
        <w:tc>
          <w:tcPr>
            <w:tcW w:w="7128" w:type="dxa"/>
          </w:tcPr>
          <w:p w:rsidR="00F958B4" w:rsidRPr="00A25ACC" w:rsidRDefault="00F958B4" w:rsidP="00800551">
            <w:pPr>
              <w:rPr>
                <w:noProof/>
              </w:rPr>
            </w:pPr>
          </w:p>
        </w:tc>
      </w:tr>
      <w:tr w:rsidR="00F958B4" w:rsidRPr="00161D65" w:rsidTr="00161D65">
        <w:tc>
          <w:tcPr>
            <w:tcW w:w="3330" w:type="dxa"/>
          </w:tcPr>
          <w:p w:rsidR="00F958B4" w:rsidRDefault="00F958B4" w:rsidP="00AB0736">
            <w:pPr>
              <w:rPr>
                <w:rFonts w:ascii="Verdana" w:hAnsi="Verdana"/>
                <w:noProof/>
              </w:rPr>
            </w:pPr>
            <w:r>
              <w:rPr>
                <w:rFonts w:ascii="Verdana" w:hAnsi="Verdana"/>
                <w:noProof/>
              </w:rPr>
              <w:t xml:space="preserve">Step 6B.  </w:t>
            </w:r>
            <w:r w:rsidR="00605932">
              <w:rPr>
                <w:rFonts w:ascii="Verdana" w:hAnsi="Verdana"/>
                <w:noProof/>
              </w:rPr>
              <w:t>For the multiple grant FFR, the screen</w:t>
            </w:r>
            <w:r w:rsidR="0050640F">
              <w:rPr>
                <w:rFonts w:ascii="Verdana" w:hAnsi="Verdana"/>
                <w:noProof/>
              </w:rPr>
              <w:t>shots have been separated and are</w:t>
            </w:r>
            <w:r w:rsidR="00605932">
              <w:rPr>
                <w:rFonts w:ascii="Verdana" w:hAnsi="Verdana"/>
                <w:noProof/>
              </w:rPr>
              <w:t xml:space="preserve"> only a partial depiction of the actual FFR.</w:t>
            </w:r>
          </w:p>
        </w:tc>
        <w:tc>
          <w:tcPr>
            <w:tcW w:w="7128" w:type="dxa"/>
          </w:tcPr>
          <w:p w:rsidR="00F958B4" w:rsidRPr="00A25ACC" w:rsidRDefault="001453D5" w:rsidP="00800551">
            <w:pPr>
              <w:rPr>
                <w:noProof/>
              </w:rPr>
            </w:pPr>
            <w:r>
              <w:rPr>
                <w:noProof/>
              </w:rPr>
              <w:pict>
                <v:shape id="_x0000_i1034" type="#_x0000_t75" style="width:349.15pt;height:412.3pt;visibility:visible;mso-wrap-style:square">
                  <v:imagedata r:id="rId19" o:title=""/>
                </v:shape>
              </w:pict>
            </w:r>
          </w:p>
        </w:tc>
      </w:tr>
      <w:tr w:rsidR="00605932" w:rsidRPr="00161D65" w:rsidTr="00161D65">
        <w:tc>
          <w:tcPr>
            <w:tcW w:w="3330" w:type="dxa"/>
          </w:tcPr>
          <w:p w:rsidR="00605932" w:rsidRDefault="00605932" w:rsidP="00AB0736">
            <w:pPr>
              <w:rPr>
                <w:rFonts w:ascii="Verdana" w:hAnsi="Verdana"/>
                <w:noProof/>
              </w:rPr>
            </w:pPr>
          </w:p>
        </w:tc>
        <w:tc>
          <w:tcPr>
            <w:tcW w:w="7128" w:type="dxa"/>
          </w:tcPr>
          <w:p w:rsidR="00605932" w:rsidRPr="00A25ACC" w:rsidRDefault="00605932" w:rsidP="00800551">
            <w:pPr>
              <w:rPr>
                <w:noProof/>
              </w:rPr>
            </w:pPr>
          </w:p>
        </w:tc>
      </w:tr>
      <w:tr w:rsidR="00605932" w:rsidRPr="00161D65" w:rsidTr="00161D65">
        <w:tc>
          <w:tcPr>
            <w:tcW w:w="3330" w:type="dxa"/>
          </w:tcPr>
          <w:p w:rsidR="00605932" w:rsidRDefault="00605932" w:rsidP="00AB0736">
            <w:pPr>
              <w:rPr>
                <w:rFonts w:ascii="Verdana" w:hAnsi="Verdana"/>
                <w:noProof/>
              </w:rPr>
            </w:pPr>
            <w:r>
              <w:rPr>
                <w:rFonts w:ascii="Verdana" w:hAnsi="Verdana"/>
                <w:noProof/>
              </w:rPr>
              <w:t>The Federal Financial Report Attachment lists each award separately and the Cumulative Federal Cash Disbursement for each award.</w:t>
            </w:r>
          </w:p>
          <w:p w:rsidR="003A5920" w:rsidRDefault="003A5920" w:rsidP="00AB0736">
            <w:pPr>
              <w:rPr>
                <w:rFonts w:ascii="Verdana" w:hAnsi="Verdana"/>
                <w:noProof/>
              </w:rPr>
            </w:pPr>
          </w:p>
          <w:p w:rsidR="003A5920" w:rsidRPr="007A69CB" w:rsidRDefault="003A5920" w:rsidP="000504B4">
            <w:pPr>
              <w:rPr>
                <w:rFonts w:ascii="Verdana" w:hAnsi="Verdana"/>
                <w:noProof/>
                <w:sz w:val="22"/>
                <w:szCs w:val="22"/>
              </w:rPr>
            </w:pPr>
            <w:r w:rsidRPr="007A69CB">
              <w:rPr>
                <w:rFonts w:ascii="Verdana" w:hAnsi="Verdana"/>
                <w:noProof/>
                <w:sz w:val="22"/>
                <w:szCs w:val="22"/>
              </w:rPr>
              <w:t xml:space="preserve">Again, while preliminary testing proved successful, because of the many </w:t>
            </w:r>
            <w:r w:rsidR="007A69CB" w:rsidRPr="007A69CB">
              <w:rPr>
                <w:rFonts w:ascii="Verdana" w:hAnsi="Verdana"/>
                <w:noProof/>
                <w:sz w:val="22"/>
                <w:szCs w:val="22"/>
              </w:rPr>
              <w:t xml:space="preserve">similar, but </w:t>
            </w:r>
            <w:r w:rsidRPr="007A69CB">
              <w:rPr>
                <w:rFonts w:ascii="Verdana" w:hAnsi="Verdana"/>
                <w:noProof/>
                <w:sz w:val="22"/>
                <w:szCs w:val="22"/>
              </w:rPr>
              <w:t>different ways agencies use the Grants, Customer Contracts, and Project Costing modules, the accuracy of this report has not been thoroughly tested</w:t>
            </w:r>
            <w:r w:rsidR="00146C74" w:rsidRPr="007A69CB">
              <w:rPr>
                <w:rFonts w:ascii="Verdana" w:hAnsi="Verdana"/>
                <w:noProof/>
                <w:sz w:val="22"/>
                <w:szCs w:val="22"/>
              </w:rPr>
              <w:t xml:space="preserve"> for each Business Unit</w:t>
            </w:r>
            <w:r w:rsidRPr="007A69CB">
              <w:rPr>
                <w:rFonts w:ascii="Verdana" w:hAnsi="Verdana"/>
                <w:noProof/>
                <w:sz w:val="22"/>
                <w:szCs w:val="22"/>
              </w:rPr>
              <w:t>.  The best recommendation is to continue using the current agency pro</w:t>
            </w:r>
            <w:r w:rsidR="002B65B5">
              <w:rPr>
                <w:rFonts w:ascii="Verdana" w:hAnsi="Verdana"/>
                <w:noProof/>
                <w:sz w:val="22"/>
                <w:szCs w:val="22"/>
              </w:rPr>
              <w:t>cesses</w:t>
            </w:r>
            <w:r w:rsidRPr="007A69CB">
              <w:rPr>
                <w:rFonts w:ascii="Verdana" w:hAnsi="Verdana"/>
                <w:noProof/>
                <w:sz w:val="22"/>
                <w:szCs w:val="22"/>
              </w:rPr>
              <w:t xml:space="preserve"> for preparing the Federal Financial Report and then, in addition, run the SMART </w:t>
            </w:r>
            <w:r w:rsidR="007A69CB">
              <w:rPr>
                <w:rFonts w:ascii="Verdana" w:hAnsi="Verdana"/>
                <w:noProof/>
                <w:sz w:val="22"/>
                <w:szCs w:val="22"/>
              </w:rPr>
              <w:t>version and compare the reports</w:t>
            </w:r>
            <w:r w:rsidR="000504B4">
              <w:rPr>
                <w:rFonts w:ascii="Verdana" w:hAnsi="Verdana"/>
                <w:noProof/>
                <w:sz w:val="22"/>
                <w:szCs w:val="22"/>
              </w:rPr>
              <w:t xml:space="preserve">.  </w:t>
            </w:r>
            <w:r w:rsidRPr="007A69CB">
              <w:rPr>
                <w:rFonts w:ascii="Verdana" w:hAnsi="Verdana"/>
                <w:noProof/>
                <w:sz w:val="22"/>
                <w:szCs w:val="22"/>
              </w:rPr>
              <w:t>If discrepancies are found, please enter a Service Desk ticket to report the issues found.</w:t>
            </w:r>
            <w:r w:rsidR="000504B4">
              <w:rPr>
                <w:rFonts w:ascii="Verdana" w:hAnsi="Verdana"/>
                <w:noProof/>
                <w:sz w:val="22"/>
                <w:szCs w:val="22"/>
              </w:rPr>
              <w:t xml:space="preserve">  Follow agency processes for submitting the report.</w:t>
            </w:r>
            <w:r w:rsidR="000504B4" w:rsidRPr="007A69CB">
              <w:rPr>
                <w:rFonts w:ascii="Verdana" w:hAnsi="Verdana"/>
                <w:noProof/>
                <w:sz w:val="22"/>
                <w:szCs w:val="22"/>
              </w:rPr>
              <w:t xml:space="preserve">  </w:t>
            </w:r>
          </w:p>
        </w:tc>
        <w:tc>
          <w:tcPr>
            <w:tcW w:w="7128" w:type="dxa"/>
          </w:tcPr>
          <w:p w:rsidR="00605932" w:rsidRPr="00A25ACC" w:rsidRDefault="001453D5" w:rsidP="00800551">
            <w:pPr>
              <w:rPr>
                <w:noProof/>
              </w:rPr>
            </w:pPr>
            <w:r>
              <w:rPr>
                <w:noProof/>
              </w:rPr>
              <w:pict>
                <v:shape id="_x0000_i1035" type="#_x0000_t75" style="width:349.15pt;height:281.9pt;visibility:visible;mso-wrap-style:square">
                  <v:imagedata r:id="rId20" o:title=""/>
                </v:shape>
              </w:pict>
            </w:r>
          </w:p>
        </w:tc>
      </w:tr>
      <w:tr w:rsidR="0054648F" w:rsidRPr="00161D65" w:rsidTr="00161D65">
        <w:tc>
          <w:tcPr>
            <w:tcW w:w="3330" w:type="dxa"/>
          </w:tcPr>
          <w:p w:rsidR="0054648F" w:rsidRDefault="0054648F" w:rsidP="00AB0736">
            <w:pPr>
              <w:rPr>
                <w:rFonts w:ascii="Verdana" w:hAnsi="Verdana"/>
                <w:noProof/>
              </w:rPr>
            </w:pPr>
          </w:p>
        </w:tc>
        <w:tc>
          <w:tcPr>
            <w:tcW w:w="7128" w:type="dxa"/>
          </w:tcPr>
          <w:p w:rsidR="0054648F" w:rsidRPr="00A25ACC" w:rsidRDefault="0054648F" w:rsidP="00800551">
            <w:pPr>
              <w:rPr>
                <w:noProof/>
              </w:rPr>
            </w:pPr>
          </w:p>
        </w:tc>
      </w:tr>
      <w:tr w:rsidR="0054648F" w:rsidRPr="00161D65" w:rsidTr="00161D65">
        <w:tc>
          <w:tcPr>
            <w:tcW w:w="3330" w:type="dxa"/>
          </w:tcPr>
          <w:p w:rsidR="0054648F" w:rsidRDefault="0054648F" w:rsidP="00AB0736">
            <w:pPr>
              <w:rPr>
                <w:rFonts w:ascii="Verdana" w:hAnsi="Verdana"/>
                <w:noProof/>
              </w:rPr>
            </w:pPr>
            <w:r>
              <w:rPr>
                <w:rFonts w:ascii="Verdana" w:hAnsi="Verdana"/>
                <w:noProof/>
              </w:rPr>
              <w:t xml:space="preserve">Step 7.  To return to the Federal Financial Report run control page, select the </w:t>
            </w:r>
            <w:r w:rsidRPr="00146C74">
              <w:rPr>
                <w:rFonts w:ascii="Verdana" w:hAnsi="Verdana"/>
                <w:i/>
                <w:noProof/>
              </w:rPr>
              <w:t>Report Manager</w:t>
            </w:r>
            <w:r>
              <w:rPr>
                <w:rFonts w:ascii="Verdana" w:hAnsi="Verdana"/>
                <w:noProof/>
              </w:rPr>
              <w:t xml:space="preserve"> tab of the browser.  Select the </w:t>
            </w:r>
            <w:r w:rsidRPr="0054648F">
              <w:rPr>
                <w:rFonts w:ascii="Verdana" w:hAnsi="Verdana"/>
                <w:i/>
                <w:noProof/>
              </w:rPr>
              <w:t>Go back to Federal Financial Report</w:t>
            </w:r>
            <w:r>
              <w:rPr>
                <w:rFonts w:ascii="Verdana" w:hAnsi="Verdana"/>
                <w:noProof/>
              </w:rPr>
              <w:t xml:space="preserve"> hyperlink.</w:t>
            </w:r>
          </w:p>
        </w:tc>
        <w:tc>
          <w:tcPr>
            <w:tcW w:w="7128" w:type="dxa"/>
          </w:tcPr>
          <w:p w:rsidR="0054648F" w:rsidRPr="00A25ACC" w:rsidRDefault="001453D5" w:rsidP="00800551">
            <w:pPr>
              <w:rPr>
                <w:noProof/>
              </w:rPr>
            </w:pPr>
            <w:r>
              <w:rPr>
                <w:noProof/>
              </w:rPr>
              <w:pict>
                <v:shape id="_x0000_i1036" type="#_x0000_t75" style="width:346.4pt;height:207.15pt;visibility:visible;mso-wrap-style:square">
                  <v:imagedata r:id="rId21" o:title=""/>
                </v:shape>
              </w:pict>
            </w:r>
          </w:p>
        </w:tc>
      </w:tr>
    </w:tbl>
    <w:p w:rsidR="00D35629" w:rsidRDefault="00D35629" w:rsidP="00652B29">
      <w:pPr>
        <w:spacing w:after="100" w:afterAutospacing="1"/>
        <w:rPr>
          <w:rFonts w:ascii="Calibri" w:hAnsi="Calibri"/>
        </w:rPr>
      </w:pPr>
    </w:p>
    <w:sectPr w:rsidR="00D35629" w:rsidSect="00800E42">
      <w:footerReference w:type="default" r:id="rId2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1453D5">
      <w:rPr>
        <w:rFonts w:ascii="Calibri" w:hAnsi="Calibri"/>
        <w:b/>
        <w:noProof/>
        <w:sz w:val="20"/>
        <w:szCs w:val="20"/>
      </w:rPr>
      <w:t>7</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1453D5">
      <w:rPr>
        <w:rFonts w:ascii="Calibri" w:hAnsi="Calibri"/>
        <w:b/>
        <w:noProof/>
        <w:sz w:val="20"/>
        <w:szCs w:val="20"/>
      </w:rPr>
      <w:t>7</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6"/>
  </w:num>
  <w:num w:numId="6">
    <w:abstractNumId w:val="10"/>
  </w:num>
  <w:num w:numId="7">
    <w:abstractNumId w:val="1"/>
  </w:num>
  <w:num w:numId="8">
    <w:abstractNumId w:val="11"/>
  </w:num>
  <w:num w:numId="9">
    <w:abstractNumId w:val="12"/>
  </w:num>
  <w:num w:numId="10">
    <w:abstractNumId w:val="8"/>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31167"/>
    <w:rsid w:val="00037422"/>
    <w:rsid w:val="00046D31"/>
    <w:rsid w:val="000504B4"/>
    <w:rsid w:val="00065551"/>
    <w:rsid w:val="00097987"/>
    <w:rsid w:val="000A40AE"/>
    <w:rsid w:val="000A7AED"/>
    <w:rsid w:val="000B12F4"/>
    <w:rsid w:val="000B70C4"/>
    <w:rsid w:val="000E69AC"/>
    <w:rsid w:val="000E7D16"/>
    <w:rsid w:val="000F293F"/>
    <w:rsid w:val="000F3F4C"/>
    <w:rsid w:val="000F77D1"/>
    <w:rsid w:val="001251AD"/>
    <w:rsid w:val="001320A7"/>
    <w:rsid w:val="001453D5"/>
    <w:rsid w:val="00145465"/>
    <w:rsid w:val="00146C74"/>
    <w:rsid w:val="00157F39"/>
    <w:rsid w:val="00161D65"/>
    <w:rsid w:val="00173A8A"/>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3C60"/>
    <w:rsid w:val="00265739"/>
    <w:rsid w:val="00271391"/>
    <w:rsid w:val="00290E9D"/>
    <w:rsid w:val="002B65B5"/>
    <w:rsid w:val="002E13D2"/>
    <w:rsid w:val="002F0001"/>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A5920"/>
    <w:rsid w:val="003B15D7"/>
    <w:rsid w:val="003C53AA"/>
    <w:rsid w:val="003E2E95"/>
    <w:rsid w:val="003F2AA2"/>
    <w:rsid w:val="0040197F"/>
    <w:rsid w:val="004066B9"/>
    <w:rsid w:val="004128EE"/>
    <w:rsid w:val="004443B6"/>
    <w:rsid w:val="00466533"/>
    <w:rsid w:val="00477DAF"/>
    <w:rsid w:val="004847C7"/>
    <w:rsid w:val="0049585B"/>
    <w:rsid w:val="004A0B6D"/>
    <w:rsid w:val="004A43A5"/>
    <w:rsid w:val="004C084E"/>
    <w:rsid w:val="004C0BC4"/>
    <w:rsid w:val="004C7AB2"/>
    <w:rsid w:val="004E2570"/>
    <w:rsid w:val="004E60F1"/>
    <w:rsid w:val="0050640F"/>
    <w:rsid w:val="00535F16"/>
    <w:rsid w:val="0054648F"/>
    <w:rsid w:val="005544A6"/>
    <w:rsid w:val="005559DD"/>
    <w:rsid w:val="00584192"/>
    <w:rsid w:val="005A65E5"/>
    <w:rsid w:val="005B714B"/>
    <w:rsid w:val="005C4C83"/>
    <w:rsid w:val="005D69D6"/>
    <w:rsid w:val="005E2CAF"/>
    <w:rsid w:val="005E3AB3"/>
    <w:rsid w:val="005F2EEA"/>
    <w:rsid w:val="005F7B5A"/>
    <w:rsid w:val="00605932"/>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96837"/>
    <w:rsid w:val="007A69CB"/>
    <w:rsid w:val="007A7FF1"/>
    <w:rsid w:val="007B111E"/>
    <w:rsid w:val="007E38B9"/>
    <w:rsid w:val="007E6960"/>
    <w:rsid w:val="007F3D2C"/>
    <w:rsid w:val="00800551"/>
    <w:rsid w:val="00800E42"/>
    <w:rsid w:val="00806A57"/>
    <w:rsid w:val="00812A2C"/>
    <w:rsid w:val="00835DD3"/>
    <w:rsid w:val="0084482B"/>
    <w:rsid w:val="00853B49"/>
    <w:rsid w:val="00881603"/>
    <w:rsid w:val="00881A5E"/>
    <w:rsid w:val="00890040"/>
    <w:rsid w:val="008934AD"/>
    <w:rsid w:val="008B5B32"/>
    <w:rsid w:val="008C6EDA"/>
    <w:rsid w:val="008D104C"/>
    <w:rsid w:val="008E5F3A"/>
    <w:rsid w:val="00916A14"/>
    <w:rsid w:val="00934316"/>
    <w:rsid w:val="0094387D"/>
    <w:rsid w:val="00945EAE"/>
    <w:rsid w:val="0096138D"/>
    <w:rsid w:val="009773A3"/>
    <w:rsid w:val="00996C68"/>
    <w:rsid w:val="009A5953"/>
    <w:rsid w:val="009B690D"/>
    <w:rsid w:val="009E2F66"/>
    <w:rsid w:val="009E381A"/>
    <w:rsid w:val="009F7187"/>
    <w:rsid w:val="00A008BC"/>
    <w:rsid w:val="00A05D98"/>
    <w:rsid w:val="00AB0736"/>
    <w:rsid w:val="00AC3EA4"/>
    <w:rsid w:val="00AD7F09"/>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268F6"/>
    <w:rsid w:val="00C74345"/>
    <w:rsid w:val="00C74D13"/>
    <w:rsid w:val="00C77DAD"/>
    <w:rsid w:val="00C81D1B"/>
    <w:rsid w:val="00C902E5"/>
    <w:rsid w:val="00C93404"/>
    <w:rsid w:val="00CA22C5"/>
    <w:rsid w:val="00CA3CE1"/>
    <w:rsid w:val="00CB14AC"/>
    <w:rsid w:val="00CC3C74"/>
    <w:rsid w:val="00CC5C66"/>
    <w:rsid w:val="00CD0715"/>
    <w:rsid w:val="00CE66D0"/>
    <w:rsid w:val="00CE7F03"/>
    <w:rsid w:val="00CF4252"/>
    <w:rsid w:val="00D05114"/>
    <w:rsid w:val="00D109F2"/>
    <w:rsid w:val="00D22CDD"/>
    <w:rsid w:val="00D337A6"/>
    <w:rsid w:val="00D35629"/>
    <w:rsid w:val="00D44C86"/>
    <w:rsid w:val="00D71110"/>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958B4"/>
    <w:rsid w:val="00FB2A8D"/>
    <w:rsid w:val="00FB65CC"/>
    <w:rsid w:val="00FB7A31"/>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Linda Shaver</cp:lastModifiedBy>
  <cp:revision>2</cp:revision>
  <cp:lastPrinted>2012-11-27T20:45:00Z</cp:lastPrinted>
  <dcterms:created xsi:type="dcterms:W3CDTF">2015-11-11T19:44:00Z</dcterms:created>
  <dcterms:modified xsi:type="dcterms:W3CDTF">2015-11-11T19:44:00Z</dcterms:modified>
</cp:coreProperties>
</file>