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270ADA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4D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428405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800551" w:rsidRDefault="00925838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>Adding Sponsors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92583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03/8/2019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925838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925838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3/8/2019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6105D7" w:rsidP="00C268F6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B12F4" w:rsidP="0001126C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0B12F4" w:rsidRPr="0058194D" w:rsidRDefault="00925838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1.  Navigation:  Projects and Grants Homepage &gt; Grants &gt; Creating a Grants &gt; Sponsor Genera</w:t>
            </w:r>
            <w:r w:rsidR="00FC0A81">
              <w:rPr>
                <w:rFonts w:ascii="Verdana" w:hAnsi="Verdana"/>
                <w:noProof/>
              </w:rPr>
              <w:t xml:space="preserve">l Information &gt; Add a New Value </w:t>
            </w:r>
            <w:r w:rsidR="00FC0A81" w:rsidRPr="002B1C6E">
              <w:rPr>
                <w:rFonts w:ascii="Verdana" w:hAnsi="Verdana"/>
                <w:b/>
                <w:noProof/>
              </w:rPr>
              <w:t>or</w:t>
            </w:r>
            <w:r w:rsidR="00FC0A81">
              <w:rPr>
                <w:rFonts w:ascii="Verdana" w:hAnsi="Verdana"/>
                <w:noProof/>
              </w:rPr>
              <w:t xml:space="preserve"> </w:t>
            </w:r>
            <w:r w:rsidR="002B1C6E">
              <w:rPr>
                <w:rFonts w:ascii="Verdana" w:hAnsi="Verdana"/>
                <w:noProof/>
              </w:rPr>
              <w:t>Projects and Grants homepage &gt; Customer Contracts &gt; Sponsor &gt; Sponsor General Information</w:t>
            </w:r>
            <w:r w:rsidR="0058194D">
              <w:rPr>
                <w:rFonts w:ascii="Verdana" w:hAnsi="Verdana"/>
                <w:noProof/>
              </w:rPr>
              <w:t xml:space="preserve"> </w:t>
            </w:r>
            <w:r w:rsidR="0058194D">
              <w:rPr>
                <w:rFonts w:ascii="Verdana" w:hAnsi="Verdana"/>
                <w:b/>
                <w:noProof/>
              </w:rPr>
              <w:t xml:space="preserve">or </w:t>
            </w:r>
            <w:r w:rsidR="0058194D">
              <w:rPr>
                <w:rFonts w:ascii="Verdana" w:hAnsi="Verdana"/>
                <w:noProof/>
              </w:rPr>
              <w:t>Navigator &gt; Grants &gt; Sponsors &gt; General Information.</w:t>
            </w:r>
            <w:bookmarkStart w:id="0" w:name="_GoBack"/>
            <w:bookmarkEnd w:id="0"/>
          </w:p>
          <w:p w:rsidR="00925838" w:rsidRDefault="00925838" w:rsidP="000A7AED">
            <w:pPr>
              <w:rPr>
                <w:rFonts w:ascii="Verdana" w:hAnsi="Verdana"/>
                <w:noProof/>
              </w:rPr>
            </w:pPr>
          </w:p>
          <w:p w:rsidR="00925838" w:rsidRPr="00925838" w:rsidRDefault="00925838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Enter the Business Unit and Customer ID.</w:t>
            </w:r>
            <w:r w:rsidR="003A41C0">
              <w:rPr>
                <w:rFonts w:ascii="Verdana" w:hAnsi="Verdana"/>
                <w:noProof/>
              </w:rPr>
              <w:t xml:space="preserve">  Click Add.</w:t>
            </w:r>
          </w:p>
        </w:tc>
        <w:tc>
          <w:tcPr>
            <w:tcW w:w="7128" w:type="dxa"/>
          </w:tcPr>
          <w:p w:rsidR="000B12F4" w:rsidRPr="00800551" w:rsidRDefault="003A41C0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57E4BEB" wp14:editId="7DCECA7A">
                  <wp:extent cx="4389120" cy="3204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3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Default="000A7AED" w:rsidP="000A7AE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0A7AED" w:rsidRPr="000A7AED" w:rsidRDefault="003A41C0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2.  Verify the status defaults as Active.  Accept or update the Date Added and Since dates.  Enter the Name 1, Short Name, Currency Code, and Rate Type.</w:t>
            </w:r>
          </w:p>
        </w:tc>
        <w:tc>
          <w:tcPr>
            <w:tcW w:w="7128" w:type="dxa"/>
          </w:tcPr>
          <w:p w:rsidR="000A7AED" w:rsidRPr="0096757B" w:rsidRDefault="003A41C0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EEED5F" wp14:editId="56A1668D">
                  <wp:extent cx="4389120" cy="14077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3A41C0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3.  In the Roles section, select the appropriate checkboxes.</w:t>
            </w:r>
          </w:p>
        </w:tc>
        <w:tc>
          <w:tcPr>
            <w:tcW w:w="7128" w:type="dxa"/>
          </w:tcPr>
          <w:p w:rsidR="005D69D6" w:rsidRPr="0096757B" w:rsidRDefault="003A41C0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BBECF" wp14:editId="73E9FB7D">
                  <wp:extent cx="4389120" cy="953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C0" w:rsidRPr="00161D65" w:rsidTr="00161D65">
        <w:tc>
          <w:tcPr>
            <w:tcW w:w="3330" w:type="dxa"/>
          </w:tcPr>
          <w:p w:rsidR="003A41C0" w:rsidRDefault="003A41C0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3A41C0" w:rsidRDefault="003A41C0" w:rsidP="00800551">
            <w:pPr>
              <w:rPr>
                <w:noProof/>
              </w:rPr>
            </w:pPr>
          </w:p>
        </w:tc>
      </w:tr>
      <w:tr w:rsidR="003A41C0" w:rsidRPr="00161D65" w:rsidTr="00161D65">
        <w:tc>
          <w:tcPr>
            <w:tcW w:w="3330" w:type="dxa"/>
          </w:tcPr>
          <w:p w:rsidR="003A41C0" w:rsidRDefault="003A41C0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Step 4.  In the Support Teams section, use the lookup to select value</w:t>
            </w:r>
            <w:r w:rsidR="00821D1E">
              <w:rPr>
                <w:rFonts w:ascii="Verdana" w:hAnsi="Verdana"/>
                <w:noProof/>
              </w:rPr>
              <w:t xml:space="preserve"> for Team Code</w:t>
            </w:r>
            <w:r>
              <w:rPr>
                <w:rFonts w:ascii="Verdana" w:hAnsi="Verdana"/>
                <w:noProof/>
              </w:rPr>
              <w:t>.  Check the Default checkbox.</w:t>
            </w:r>
          </w:p>
        </w:tc>
        <w:tc>
          <w:tcPr>
            <w:tcW w:w="7128" w:type="dxa"/>
          </w:tcPr>
          <w:p w:rsidR="003A41C0" w:rsidRDefault="00821D1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641A9A" wp14:editId="32B16357">
                  <wp:extent cx="5357006" cy="833932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631" cy="84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EB" w:rsidRPr="00161D65" w:rsidTr="00161D65">
        <w:tc>
          <w:tcPr>
            <w:tcW w:w="3330" w:type="dxa"/>
          </w:tcPr>
          <w:p w:rsidR="006424EB" w:rsidRDefault="006424EB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6424EB" w:rsidRDefault="006424EB" w:rsidP="00800551">
            <w:pPr>
              <w:rPr>
                <w:noProof/>
              </w:rPr>
            </w:pPr>
          </w:p>
        </w:tc>
      </w:tr>
      <w:tr w:rsidR="006424EB" w:rsidRPr="00161D65" w:rsidTr="00161D65">
        <w:tc>
          <w:tcPr>
            <w:tcW w:w="3330" w:type="dxa"/>
          </w:tcPr>
          <w:p w:rsidR="006424EB" w:rsidRPr="006424EB" w:rsidRDefault="006424EB" w:rsidP="00C77DAD">
            <w:pPr>
              <w:rPr>
                <w:rFonts w:ascii="Verdana" w:hAnsi="Verdana"/>
                <w:noProof/>
                <w:vertAlign w:val="subscript"/>
              </w:rPr>
            </w:pPr>
            <w:r>
              <w:rPr>
                <w:rFonts w:ascii="Verdana" w:hAnsi="Verdana"/>
                <w:noProof/>
              </w:rPr>
              <w:t>Step 5. In the Address Locations section, select the appropriate checkboxes.  Use the plus or minutes icon to add additional addresses.</w:t>
            </w:r>
          </w:p>
        </w:tc>
        <w:tc>
          <w:tcPr>
            <w:tcW w:w="7128" w:type="dxa"/>
          </w:tcPr>
          <w:p w:rsidR="006424EB" w:rsidRDefault="006424EB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69A42C" wp14:editId="64584991">
                  <wp:extent cx="4482965" cy="76078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215" cy="7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D1E" w:rsidRPr="00161D65" w:rsidTr="00161D65">
        <w:tc>
          <w:tcPr>
            <w:tcW w:w="3330" w:type="dxa"/>
          </w:tcPr>
          <w:p w:rsidR="00821D1E" w:rsidRDefault="00821D1E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21D1E" w:rsidRDefault="00821D1E" w:rsidP="00800551">
            <w:pPr>
              <w:rPr>
                <w:noProof/>
              </w:rPr>
            </w:pPr>
          </w:p>
        </w:tc>
      </w:tr>
      <w:tr w:rsidR="00821D1E" w:rsidRPr="00161D65" w:rsidTr="00161D65">
        <w:tc>
          <w:tcPr>
            <w:tcW w:w="3330" w:type="dxa"/>
          </w:tcPr>
          <w:p w:rsidR="00821D1E" w:rsidRDefault="006424EB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6</w:t>
            </w:r>
            <w:r w:rsidR="00821D1E">
              <w:rPr>
                <w:rFonts w:ascii="Verdana" w:hAnsi="Verdana"/>
                <w:noProof/>
              </w:rPr>
              <w:t>.  In the Address Details section, verify the Effective Date and Status of Active.  Enter the Address in the appropriate fields.</w:t>
            </w:r>
          </w:p>
        </w:tc>
        <w:tc>
          <w:tcPr>
            <w:tcW w:w="7128" w:type="dxa"/>
          </w:tcPr>
          <w:p w:rsidR="00821D1E" w:rsidRDefault="006424EB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13F85E" wp14:editId="081BEB1A">
                  <wp:extent cx="4806165" cy="23335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922" cy="235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BA7" w:rsidRPr="00161D65" w:rsidTr="00161D65">
        <w:tc>
          <w:tcPr>
            <w:tcW w:w="3330" w:type="dxa"/>
          </w:tcPr>
          <w:p w:rsidR="00894BA7" w:rsidRDefault="00894BA7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94BA7" w:rsidRDefault="00894BA7" w:rsidP="00800551">
            <w:pPr>
              <w:rPr>
                <w:noProof/>
              </w:rPr>
            </w:pPr>
          </w:p>
        </w:tc>
      </w:tr>
      <w:tr w:rsidR="00894BA7" w:rsidRPr="00161D65" w:rsidTr="00161D65">
        <w:tc>
          <w:tcPr>
            <w:tcW w:w="3330" w:type="dxa"/>
          </w:tcPr>
          <w:p w:rsidR="00894BA7" w:rsidRDefault="00894BA7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7. On the Bill To Options tab, verify the Effective Date and Status of Active.  Use the lookup to select the Credit Analyst, AR Specialist, and </w:t>
            </w:r>
            <w:r w:rsidR="00333BBE">
              <w:rPr>
                <w:rFonts w:ascii="Verdana" w:hAnsi="Verdana"/>
                <w:noProof/>
              </w:rPr>
              <w:t>Collector</w:t>
            </w:r>
            <w:r>
              <w:rPr>
                <w:rFonts w:ascii="Verdana" w:hAnsi="Verdana"/>
                <w:noProof/>
              </w:rPr>
              <w:t>.</w:t>
            </w:r>
            <w:r w:rsidR="00333BBE">
              <w:rPr>
                <w:rFonts w:ascii="Verdana" w:hAnsi="Verdana"/>
                <w:noProof/>
              </w:rPr>
              <w:t xml:space="preserve">  Click Save.</w:t>
            </w:r>
          </w:p>
        </w:tc>
        <w:tc>
          <w:tcPr>
            <w:tcW w:w="7128" w:type="dxa"/>
          </w:tcPr>
          <w:p w:rsidR="00894BA7" w:rsidRDefault="00333BB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9D530" wp14:editId="39DE6339">
                  <wp:extent cx="4801091" cy="1858061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563" cy="186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EB" w:rsidRPr="00161D65" w:rsidTr="00161D65">
        <w:tc>
          <w:tcPr>
            <w:tcW w:w="3330" w:type="dxa"/>
          </w:tcPr>
          <w:p w:rsidR="006424EB" w:rsidRDefault="006424EB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6424EB" w:rsidRDefault="006424EB" w:rsidP="00800551">
            <w:pPr>
              <w:rPr>
                <w:noProof/>
              </w:rPr>
            </w:pPr>
          </w:p>
        </w:tc>
      </w:tr>
      <w:tr w:rsidR="006424EB" w:rsidRPr="00161D65" w:rsidTr="00161D65">
        <w:tc>
          <w:tcPr>
            <w:tcW w:w="3330" w:type="dxa"/>
          </w:tcPr>
          <w:p w:rsidR="00E97326" w:rsidRDefault="006424EB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Step 7. (Optional) </w:t>
            </w:r>
          </w:p>
          <w:p w:rsidR="00E97326" w:rsidRPr="00E97326" w:rsidRDefault="00E9732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Salary Cap</w:t>
            </w:r>
          </w:p>
          <w:p w:rsidR="00E97326" w:rsidRDefault="00894BA7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On the Details tab, e</w:t>
            </w:r>
            <w:r w:rsidR="006424EB">
              <w:rPr>
                <w:rFonts w:ascii="Verdana" w:hAnsi="Verdana"/>
                <w:noProof/>
              </w:rPr>
              <w:t xml:space="preserve">nter the Salary Cap. </w:t>
            </w:r>
          </w:p>
          <w:p w:rsidR="00E97326" w:rsidRDefault="006424EB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</w:t>
            </w:r>
          </w:p>
          <w:p w:rsidR="00E97326" w:rsidRPr="00E97326" w:rsidRDefault="00E9732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LOC Details</w:t>
            </w:r>
          </w:p>
          <w:p w:rsidR="006424EB" w:rsidRDefault="006424EB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Check the Letter of Credit checkbox and use the looku</w:t>
            </w:r>
            <w:r w:rsidR="00894BA7">
              <w:rPr>
                <w:rFonts w:ascii="Verdana" w:hAnsi="Verdana"/>
                <w:noProof/>
              </w:rPr>
              <w:t xml:space="preserve">p </w:t>
            </w:r>
            <w:r w:rsidR="00E97326">
              <w:rPr>
                <w:rFonts w:ascii="Verdana" w:hAnsi="Verdana"/>
                <w:noProof/>
              </w:rPr>
              <w:t>to select an existing code.  If entering an new Letter of Credit code (the account number used when completing the draw), please enter a Service Desk ticket.</w:t>
            </w:r>
          </w:p>
          <w:p w:rsidR="00E97326" w:rsidRDefault="00E97326" w:rsidP="00C77DAD">
            <w:pPr>
              <w:rPr>
                <w:rFonts w:ascii="Verdana" w:hAnsi="Verdana"/>
                <w:noProof/>
              </w:rPr>
            </w:pPr>
          </w:p>
          <w:p w:rsidR="00E97326" w:rsidRDefault="00E97326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Save.</w:t>
            </w:r>
          </w:p>
        </w:tc>
        <w:tc>
          <w:tcPr>
            <w:tcW w:w="7128" w:type="dxa"/>
          </w:tcPr>
          <w:p w:rsidR="006424EB" w:rsidRDefault="00E97326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D8029" wp14:editId="7BE9FB6D">
                  <wp:extent cx="4389120" cy="29089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90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BA7" w:rsidRPr="00161D65" w:rsidTr="00161D65">
        <w:tc>
          <w:tcPr>
            <w:tcW w:w="3330" w:type="dxa"/>
          </w:tcPr>
          <w:p w:rsidR="00894BA7" w:rsidRDefault="00894BA7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94BA7" w:rsidRDefault="00894BA7" w:rsidP="00800551">
            <w:pPr>
              <w:rPr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0ADA"/>
    <w:rsid w:val="00271391"/>
    <w:rsid w:val="00290E9D"/>
    <w:rsid w:val="002B1C6E"/>
    <w:rsid w:val="002E13D2"/>
    <w:rsid w:val="00305881"/>
    <w:rsid w:val="003064CA"/>
    <w:rsid w:val="00310EBC"/>
    <w:rsid w:val="00312661"/>
    <w:rsid w:val="00333BBE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A41C0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71ABA"/>
    <w:rsid w:val="0058194D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424E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21D1E"/>
    <w:rsid w:val="00835DD3"/>
    <w:rsid w:val="0084482B"/>
    <w:rsid w:val="00853B49"/>
    <w:rsid w:val="00881603"/>
    <w:rsid w:val="00890040"/>
    <w:rsid w:val="008934AD"/>
    <w:rsid w:val="00894BA7"/>
    <w:rsid w:val="008B5B32"/>
    <w:rsid w:val="008C6EDA"/>
    <w:rsid w:val="008D104C"/>
    <w:rsid w:val="008E5F3A"/>
    <w:rsid w:val="00916A14"/>
    <w:rsid w:val="00925838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A1E50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97326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C0A8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18DF8C"/>
  <w15:docId w15:val="{81B5FEB6-1E20-4AD5-8D34-CC119D79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Shaver, Linda [DASM]</cp:lastModifiedBy>
  <cp:revision>6</cp:revision>
  <cp:lastPrinted>2012-11-27T20:45:00Z</cp:lastPrinted>
  <dcterms:created xsi:type="dcterms:W3CDTF">2019-03-08T19:45:00Z</dcterms:created>
  <dcterms:modified xsi:type="dcterms:W3CDTF">2019-03-18T20:34:00Z</dcterms:modified>
</cp:coreProperties>
</file>