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074E" w14:textId="77777777" w:rsidR="00800E42" w:rsidRDefault="00343AE0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803AD63" wp14:editId="301F7B9E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1E6">
        <w:rPr>
          <w:rFonts w:ascii="Calibri" w:hAnsi="Calibri"/>
          <w:noProof/>
          <w:sz w:val="32"/>
          <w:szCs w:val="32"/>
        </w:rPr>
        <w:object w:dxaOrig="1440" w:dyaOrig="1440" w14:anchorId="42D62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704890078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2135F9E7" w14:textId="77777777" w:rsidR="00800551" w:rsidRPr="00800551" w:rsidRDefault="00036A47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r>
        <w:rPr>
          <w:rFonts w:ascii="Verdana" w:hAnsi="Verdana" w:cs="Arial"/>
          <w:b/>
          <w:bCs/>
          <w:noProof/>
          <w:sz w:val="32"/>
          <w:szCs w:val="32"/>
          <w:lang w:val="en-US"/>
        </w:rPr>
        <w:t>Worksheet Cross Reference</w:t>
      </w:r>
    </w:p>
    <w:p w14:paraId="2EC0E018" w14:textId="77777777"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3861D601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14:paraId="342979B9" w14:textId="77777777" w:rsidTr="00161D65">
        <w:tc>
          <w:tcPr>
            <w:tcW w:w="3330" w:type="dxa"/>
          </w:tcPr>
          <w:p w14:paraId="1C5BC3AD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14:paraId="076E7920" w14:textId="77777777" w:rsidR="003738F2" w:rsidRPr="00800551" w:rsidRDefault="00036A47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10/12/2017</w:t>
            </w:r>
          </w:p>
        </w:tc>
      </w:tr>
      <w:tr w:rsidR="00AF2E3C" w:rsidRPr="00161D65" w14:paraId="1E7A4F51" w14:textId="77777777" w:rsidTr="00161D65">
        <w:tc>
          <w:tcPr>
            <w:tcW w:w="3330" w:type="dxa"/>
          </w:tcPr>
          <w:p w14:paraId="362F716B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14:paraId="551EED16" w14:textId="77777777" w:rsidR="00AF2E3C" w:rsidRPr="00800551" w:rsidRDefault="00653B72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</w:t>
            </w:r>
          </w:p>
        </w:tc>
      </w:tr>
      <w:tr w:rsidR="003738F2" w:rsidRPr="00161D65" w14:paraId="0ACACA5F" w14:textId="77777777" w:rsidTr="00161D65">
        <w:tc>
          <w:tcPr>
            <w:tcW w:w="3330" w:type="dxa"/>
          </w:tcPr>
          <w:p w14:paraId="5541A699" w14:textId="77777777"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14:paraId="52A1230F" w14:textId="77777777" w:rsidR="003738F2" w:rsidRPr="00800551" w:rsidRDefault="00653B72" w:rsidP="00254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2/26/2019</w:t>
            </w:r>
          </w:p>
        </w:tc>
      </w:tr>
      <w:tr w:rsidR="000B12F4" w:rsidRPr="00161D65" w14:paraId="1F4E5D07" w14:textId="77777777" w:rsidTr="00161D65">
        <w:tc>
          <w:tcPr>
            <w:tcW w:w="3330" w:type="dxa"/>
          </w:tcPr>
          <w:p w14:paraId="20C262C6" w14:textId="77777777" w:rsidR="000B12F4" w:rsidRPr="00800551" w:rsidRDefault="00036A47" w:rsidP="0001126C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Security Roles:</w:t>
            </w:r>
          </w:p>
        </w:tc>
        <w:tc>
          <w:tcPr>
            <w:tcW w:w="7128" w:type="dxa"/>
          </w:tcPr>
          <w:p w14:paraId="5C540B9D" w14:textId="77777777" w:rsidR="000B12F4" w:rsidRPr="00800551" w:rsidRDefault="00036A47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KAR_AGY_Billing_Admin</w:t>
            </w:r>
            <w:r w:rsidR="00A41BFE">
              <w:rPr>
                <w:rFonts w:ascii="Verdana" w:hAnsi="Verdana"/>
                <w:noProof/>
              </w:rPr>
              <w:t>, KAR_Agy_Billing_Processor, KAR_KS_Billing_Viewer</w:t>
            </w:r>
          </w:p>
        </w:tc>
      </w:tr>
      <w:tr w:rsidR="000B12F4" w:rsidRPr="00161D65" w14:paraId="35E83345" w14:textId="77777777" w:rsidTr="00161D65">
        <w:tc>
          <w:tcPr>
            <w:tcW w:w="3330" w:type="dxa"/>
          </w:tcPr>
          <w:p w14:paraId="1C53AAF7" w14:textId="77777777" w:rsidR="000B12F4" w:rsidRPr="00A41BFE" w:rsidRDefault="00A41BFE" w:rsidP="000A7AE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B169F4">
              <w:rPr>
                <w:rFonts w:ascii="Verdana" w:hAnsi="Verdana"/>
                <w:noProof/>
              </w:rPr>
              <w:t>Worksheet Cross R</w:t>
            </w:r>
            <w:r>
              <w:rPr>
                <w:rFonts w:ascii="Verdana" w:hAnsi="Verdana"/>
                <w:noProof/>
              </w:rPr>
              <w:t>eference is</w:t>
            </w:r>
            <w:r w:rsidR="00B169F4">
              <w:rPr>
                <w:rFonts w:ascii="Verdana" w:hAnsi="Verdana"/>
                <w:noProof/>
              </w:rPr>
              <w:t xml:space="preserve"> a new feature</w:t>
            </w:r>
            <w:r>
              <w:rPr>
                <w:rFonts w:ascii="Verdana" w:hAnsi="Verdana"/>
                <w:noProof/>
              </w:rPr>
              <w:t xml:space="preserve"> </w:t>
            </w:r>
            <w:r w:rsidR="00B169F4">
              <w:rPr>
                <w:rFonts w:ascii="Verdana" w:hAnsi="Verdana"/>
                <w:noProof/>
              </w:rPr>
              <w:t>being released with the 9.2.24 Upgrade.  Invoices processed prior to the 9.2.24 Upgrade will not have this feature.</w:t>
            </w:r>
          </w:p>
        </w:tc>
        <w:tc>
          <w:tcPr>
            <w:tcW w:w="7128" w:type="dxa"/>
          </w:tcPr>
          <w:p w14:paraId="50D27BE7" w14:textId="77777777" w:rsidR="000B12F4" w:rsidRPr="00800551" w:rsidRDefault="00A41BFE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B169F4">
              <w:rPr>
                <w:rFonts w:ascii="Verdana" w:hAnsi="Verdana"/>
                <w:noProof/>
              </w:rPr>
              <w:t>Worksheet Cross R</w:t>
            </w:r>
            <w:r>
              <w:rPr>
                <w:rFonts w:ascii="Verdana" w:hAnsi="Verdana"/>
                <w:noProof/>
              </w:rPr>
              <w:t xml:space="preserve">eference is available for Billings processed through the Project Costing/Grants/Customer Contracts/Billing modules where </w:t>
            </w:r>
            <w:r w:rsidR="00B169F4">
              <w:rPr>
                <w:rFonts w:ascii="Verdana" w:hAnsi="Verdana"/>
                <w:noProof/>
              </w:rPr>
              <w:t>transactions create a temporary billing invoice on the Billing Worksheet.  Once the Billing Worksheet is approved</w:t>
            </w:r>
            <w:r w:rsidR="006C689B">
              <w:rPr>
                <w:rFonts w:ascii="Verdana" w:hAnsi="Verdana"/>
                <w:noProof/>
              </w:rPr>
              <w:t>,</w:t>
            </w:r>
            <w:r w:rsidR="00A13E2C">
              <w:rPr>
                <w:rFonts w:ascii="Verdana" w:hAnsi="Verdana"/>
                <w:noProof/>
              </w:rPr>
              <w:t xml:space="preserve"> </w:t>
            </w:r>
            <w:r w:rsidR="006C689B">
              <w:rPr>
                <w:rFonts w:ascii="Verdana" w:hAnsi="Verdana"/>
                <w:noProof/>
              </w:rPr>
              <w:t>an invoice number is assigned which flows into the Accounts Receivable module as the Item ID</w:t>
            </w:r>
            <w:r w:rsidR="00B169F4">
              <w:rPr>
                <w:rFonts w:ascii="Verdana" w:hAnsi="Verdana"/>
                <w:noProof/>
              </w:rPr>
              <w:t xml:space="preserve">.  </w:t>
            </w:r>
            <w:r w:rsidR="00EA6574">
              <w:rPr>
                <w:rFonts w:ascii="Verdana" w:hAnsi="Verdana"/>
                <w:noProof/>
              </w:rPr>
              <w:t>This wil</w:t>
            </w:r>
            <w:r w:rsidR="00A47A8C">
              <w:rPr>
                <w:rFonts w:ascii="Verdana" w:hAnsi="Verdana"/>
                <w:noProof/>
              </w:rPr>
              <w:t xml:space="preserve">l provide traceability for </w:t>
            </w:r>
            <w:r w:rsidR="00EA6574">
              <w:rPr>
                <w:rFonts w:ascii="Verdana" w:hAnsi="Verdana"/>
                <w:noProof/>
              </w:rPr>
              <w:t xml:space="preserve"> transactions throughout SMART</w:t>
            </w:r>
            <w:r w:rsidR="006C689B">
              <w:rPr>
                <w:rFonts w:ascii="Verdana" w:hAnsi="Verdana"/>
                <w:noProof/>
              </w:rPr>
              <w:t>.</w:t>
            </w:r>
          </w:p>
        </w:tc>
      </w:tr>
      <w:tr w:rsidR="000A7AED" w:rsidRPr="00161D65" w14:paraId="72ABDF40" w14:textId="77777777" w:rsidTr="00161D65">
        <w:tc>
          <w:tcPr>
            <w:tcW w:w="3330" w:type="dxa"/>
          </w:tcPr>
          <w:p w14:paraId="2803BC8E" w14:textId="77777777" w:rsidR="000A7AED" w:rsidRPr="00B169F4" w:rsidRDefault="000A7AED" w:rsidP="000A7AE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14:paraId="326548F0" w14:textId="77777777" w:rsidR="000A7AED" w:rsidRPr="0096757B" w:rsidRDefault="000A7AED" w:rsidP="00800551">
            <w:pPr>
              <w:rPr>
                <w:noProof/>
              </w:rPr>
            </w:pPr>
          </w:p>
        </w:tc>
      </w:tr>
      <w:tr w:rsidR="000A7AED" w:rsidRPr="00161D65" w14:paraId="30B7DB43" w14:textId="77777777" w:rsidTr="00161D65">
        <w:tc>
          <w:tcPr>
            <w:tcW w:w="3330" w:type="dxa"/>
          </w:tcPr>
          <w:p w14:paraId="46A07FB4" w14:textId="77777777" w:rsidR="000A7AED" w:rsidRDefault="00EA6574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In the Billing module, navigate to Billing </w:t>
            </w:r>
            <w:r w:rsidR="003500AE">
              <w:rPr>
                <w:rFonts w:ascii="Verdana" w:hAnsi="Verdana"/>
                <w:noProof/>
              </w:rPr>
              <w:t>H</w:t>
            </w:r>
            <w:r w:rsidR="00707BBC">
              <w:rPr>
                <w:rFonts w:ascii="Verdana" w:hAnsi="Verdana"/>
                <w:noProof/>
              </w:rPr>
              <w:t xml:space="preserve">omepage </w:t>
            </w:r>
            <w:r>
              <w:rPr>
                <w:rFonts w:ascii="Verdana" w:hAnsi="Verdana"/>
                <w:noProof/>
              </w:rPr>
              <w:t xml:space="preserve">&gt; </w:t>
            </w:r>
            <w:r w:rsidR="003500AE">
              <w:rPr>
                <w:rFonts w:ascii="Verdana" w:hAnsi="Verdana"/>
                <w:noProof/>
              </w:rPr>
              <w:t>Process Billing Worksheets &gt; Search for Bills</w:t>
            </w:r>
            <w:r w:rsidR="00707BBC">
              <w:rPr>
                <w:rFonts w:ascii="Verdana" w:hAnsi="Verdana"/>
                <w:noProof/>
              </w:rPr>
              <w:t xml:space="preserve"> &gt; Billing Information </w:t>
            </w:r>
            <w:r>
              <w:rPr>
                <w:rFonts w:ascii="Verdana" w:hAnsi="Verdana"/>
                <w:noProof/>
              </w:rPr>
              <w:t>Detai</w:t>
            </w:r>
            <w:r w:rsidR="00AC13A7">
              <w:rPr>
                <w:rFonts w:ascii="Verdana" w:hAnsi="Verdana"/>
                <w:noProof/>
              </w:rPr>
              <w:t xml:space="preserve">ls </w:t>
            </w:r>
            <w:r w:rsidR="00AC13A7">
              <w:rPr>
                <w:rFonts w:ascii="Verdana" w:hAnsi="Verdana"/>
                <w:b/>
                <w:noProof/>
              </w:rPr>
              <w:t xml:space="preserve">or </w:t>
            </w:r>
            <w:r w:rsidR="00AC13A7">
              <w:rPr>
                <w:rFonts w:ascii="Verdana" w:hAnsi="Verdana"/>
                <w:noProof/>
              </w:rPr>
              <w:t xml:space="preserve">Navigator &gt; Billing &gt; Review Billing Information &gt; Details.  </w:t>
            </w:r>
            <w:r>
              <w:rPr>
                <w:rFonts w:ascii="Verdana" w:hAnsi="Verdana"/>
                <w:noProof/>
              </w:rPr>
              <w:t>Search for the Invoice</w:t>
            </w:r>
            <w:r w:rsidR="00A13E2C">
              <w:rPr>
                <w:rFonts w:ascii="Verdana" w:hAnsi="Verdana"/>
                <w:noProof/>
              </w:rPr>
              <w:t xml:space="preserve">.  Select the Worksheet Cross Reference hyperlink.  </w:t>
            </w:r>
          </w:p>
          <w:p w14:paraId="164FF422" w14:textId="77777777" w:rsidR="00EA6574" w:rsidRPr="00B169F4" w:rsidRDefault="00EA6574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14:paraId="14558ABB" w14:textId="77777777" w:rsidR="000A7AED" w:rsidRPr="0096757B" w:rsidRDefault="00EA657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E03FDC" wp14:editId="0EFEB3F1">
                  <wp:extent cx="4389120" cy="28181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81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D6" w:rsidRPr="00161D65" w14:paraId="2A20EC3F" w14:textId="77777777" w:rsidTr="00161D65">
        <w:tc>
          <w:tcPr>
            <w:tcW w:w="3330" w:type="dxa"/>
          </w:tcPr>
          <w:p w14:paraId="18635D14" w14:textId="77777777" w:rsidR="005D69D6" w:rsidRPr="00B169F4" w:rsidRDefault="005D69D6" w:rsidP="005D69D6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14:paraId="36F68389" w14:textId="77777777" w:rsidR="005D69D6" w:rsidRPr="0096757B" w:rsidRDefault="005D69D6" w:rsidP="00800551">
            <w:pPr>
              <w:rPr>
                <w:noProof/>
              </w:rPr>
            </w:pPr>
          </w:p>
        </w:tc>
      </w:tr>
      <w:tr w:rsidR="005D69D6" w:rsidRPr="00161D65" w14:paraId="03704532" w14:textId="77777777" w:rsidTr="00161D65">
        <w:tc>
          <w:tcPr>
            <w:tcW w:w="3330" w:type="dxa"/>
          </w:tcPr>
          <w:p w14:paraId="4C13FFAF" w14:textId="77777777" w:rsidR="005D69D6" w:rsidRPr="000A7AED" w:rsidRDefault="00EA6574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>The modal window is displayed with the BU, Invoice, and Temporary Invoice information.</w:t>
            </w:r>
          </w:p>
        </w:tc>
        <w:tc>
          <w:tcPr>
            <w:tcW w:w="7128" w:type="dxa"/>
          </w:tcPr>
          <w:p w14:paraId="3644AB66" w14:textId="77777777" w:rsidR="005D69D6" w:rsidRPr="0096757B" w:rsidRDefault="00EA657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49CFEF" wp14:editId="16BAE42F">
                  <wp:extent cx="4389120" cy="26079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60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574" w:rsidRPr="00161D65" w14:paraId="37B635FF" w14:textId="77777777" w:rsidTr="00161D65">
        <w:tc>
          <w:tcPr>
            <w:tcW w:w="3330" w:type="dxa"/>
          </w:tcPr>
          <w:p w14:paraId="051B3A2D" w14:textId="77777777" w:rsidR="00EA6574" w:rsidRDefault="00EA6574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14:paraId="00938DDE" w14:textId="77777777" w:rsidR="00EA6574" w:rsidRDefault="00EA6574" w:rsidP="00800551">
            <w:pPr>
              <w:rPr>
                <w:noProof/>
              </w:rPr>
            </w:pPr>
          </w:p>
        </w:tc>
      </w:tr>
      <w:tr w:rsidR="00EA6574" w:rsidRPr="00161D65" w14:paraId="18955A9F" w14:textId="77777777" w:rsidTr="00161D65">
        <w:tc>
          <w:tcPr>
            <w:tcW w:w="3330" w:type="dxa"/>
          </w:tcPr>
          <w:p w14:paraId="644241E4" w14:textId="77777777" w:rsidR="00EA6574" w:rsidRDefault="005A21C3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</w:t>
            </w:r>
            <w:r w:rsidR="007871E4">
              <w:rPr>
                <w:rFonts w:ascii="Verdana" w:hAnsi="Verdana"/>
                <w:noProof/>
              </w:rPr>
              <w:t xml:space="preserve">earching for </w:t>
            </w:r>
            <w:r>
              <w:rPr>
                <w:rFonts w:ascii="Verdana" w:hAnsi="Verdana"/>
                <w:noProof/>
              </w:rPr>
              <w:t xml:space="preserve">either </w:t>
            </w:r>
            <w:r w:rsidR="007871E4">
              <w:rPr>
                <w:rFonts w:ascii="Verdana" w:hAnsi="Verdana"/>
                <w:noProof/>
              </w:rPr>
              <w:t>the Billing Worksheet Temporary Invoice or the generated Invoice provide the same Worksheet Cross Reference information.</w:t>
            </w:r>
          </w:p>
        </w:tc>
        <w:tc>
          <w:tcPr>
            <w:tcW w:w="7128" w:type="dxa"/>
          </w:tcPr>
          <w:p w14:paraId="5CE6AD5B" w14:textId="77777777" w:rsidR="00EA6574" w:rsidRDefault="007871E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D0A92E" wp14:editId="51F715D6">
                  <wp:extent cx="4389120" cy="28568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574" w:rsidRPr="00161D65" w14:paraId="608D55DD" w14:textId="77777777" w:rsidTr="00161D65">
        <w:tc>
          <w:tcPr>
            <w:tcW w:w="3330" w:type="dxa"/>
          </w:tcPr>
          <w:p w14:paraId="34C24214" w14:textId="77777777" w:rsidR="00EA6574" w:rsidRDefault="00EA6574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14:paraId="1B6DDB93" w14:textId="77777777" w:rsidR="00EA6574" w:rsidRDefault="00EA6574" w:rsidP="00800551">
            <w:pPr>
              <w:rPr>
                <w:noProof/>
              </w:rPr>
            </w:pPr>
          </w:p>
        </w:tc>
      </w:tr>
      <w:tr w:rsidR="00EA6574" w:rsidRPr="00161D65" w14:paraId="1A426757" w14:textId="77777777" w:rsidTr="00161D65">
        <w:tc>
          <w:tcPr>
            <w:tcW w:w="3330" w:type="dxa"/>
          </w:tcPr>
          <w:p w14:paraId="2923F9B8" w14:textId="77777777" w:rsidR="00EA6574" w:rsidRDefault="003500AE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NavBar:  Navigator &gt; </w:t>
            </w:r>
            <w:r w:rsidR="00EA6574">
              <w:rPr>
                <w:rFonts w:ascii="Verdana" w:hAnsi="Verdana"/>
                <w:noProof/>
              </w:rPr>
              <w:t xml:space="preserve">Accounts Receivable &gt; Customer Accounts &gt; Item Information &gt; Item </w:t>
            </w:r>
            <w:r w:rsidR="007871E4">
              <w:rPr>
                <w:rFonts w:ascii="Verdana" w:hAnsi="Verdana"/>
                <w:noProof/>
              </w:rPr>
              <w:t xml:space="preserve">Billing Data.  Search by either the Temporary Invoice or by Invoice/Item number.  </w:t>
            </w:r>
          </w:p>
          <w:p w14:paraId="642FDA0A" w14:textId="77777777" w:rsidR="007871E4" w:rsidRDefault="007871E4" w:rsidP="00C77DAD">
            <w:pPr>
              <w:rPr>
                <w:rFonts w:ascii="Verdana" w:hAnsi="Verdana"/>
                <w:noProof/>
              </w:rPr>
            </w:pPr>
          </w:p>
          <w:p w14:paraId="1ACC9571" w14:textId="77777777" w:rsidR="007871E4" w:rsidRDefault="007871E4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In the Go To lookup, select Bill Line – General Info 1.</w:t>
            </w:r>
          </w:p>
        </w:tc>
        <w:tc>
          <w:tcPr>
            <w:tcW w:w="7128" w:type="dxa"/>
          </w:tcPr>
          <w:p w14:paraId="358DC16E" w14:textId="77777777" w:rsidR="00EA6574" w:rsidRDefault="007871E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0DA190" wp14:editId="18FBDD98">
                  <wp:extent cx="4325509" cy="259205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783" cy="259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1E4" w:rsidRPr="00161D65" w14:paraId="0584B296" w14:textId="77777777" w:rsidTr="00161D65">
        <w:tc>
          <w:tcPr>
            <w:tcW w:w="3330" w:type="dxa"/>
          </w:tcPr>
          <w:p w14:paraId="008327F0" w14:textId="77777777" w:rsidR="007871E4" w:rsidRDefault="007871E4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14:paraId="429FBF8F" w14:textId="77777777" w:rsidR="007871E4" w:rsidRDefault="007871E4" w:rsidP="00800551">
            <w:pPr>
              <w:rPr>
                <w:noProof/>
              </w:rPr>
            </w:pPr>
          </w:p>
        </w:tc>
      </w:tr>
      <w:tr w:rsidR="007871E4" w:rsidRPr="00161D65" w14:paraId="12C63FE8" w14:textId="77777777" w:rsidTr="00161D65">
        <w:tc>
          <w:tcPr>
            <w:tcW w:w="3330" w:type="dxa"/>
          </w:tcPr>
          <w:p w14:paraId="4EC3D711" w14:textId="77777777" w:rsidR="007871E4" w:rsidRDefault="00A13E2C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>Select the Worksheet Cross Reference hyperlink.</w:t>
            </w:r>
          </w:p>
        </w:tc>
        <w:tc>
          <w:tcPr>
            <w:tcW w:w="7128" w:type="dxa"/>
          </w:tcPr>
          <w:p w14:paraId="4A1E9851" w14:textId="77777777" w:rsidR="007871E4" w:rsidRDefault="00A13E2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70C040" wp14:editId="2D8C1B49">
                  <wp:extent cx="4389120" cy="2534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53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E2C" w:rsidRPr="00161D65" w14:paraId="7909E2B8" w14:textId="77777777" w:rsidTr="00161D65">
        <w:tc>
          <w:tcPr>
            <w:tcW w:w="3330" w:type="dxa"/>
          </w:tcPr>
          <w:p w14:paraId="5A8E7102" w14:textId="77777777" w:rsidR="00A13E2C" w:rsidRDefault="00A13E2C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14:paraId="25924FBE" w14:textId="77777777" w:rsidR="00A13E2C" w:rsidRDefault="00A13E2C" w:rsidP="00800551">
            <w:pPr>
              <w:rPr>
                <w:noProof/>
              </w:rPr>
            </w:pPr>
          </w:p>
        </w:tc>
      </w:tr>
      <w:tr w:rsidR="00A13E2C" w:rsidRPr="00161D65" w14:paraId="2E4EF1B1" w14:textId="77777777" w:rsidTr="00161D65">
        <w:tc>
          <w:tcPr>
            <w:tcW w:w="3330" w:type="dxa"/>
          </w:tcPr>
          <w:p w14:paraId="0B4B9D9D" w14:textId="77777777" w:rsidR="00A13E2C" w:rsidRDefault="00A13E2C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Invoice\Worksheet Cross Reference will be displayed.</w:t>
            </w:r>
          </w:p>
        </w:tc>
        <w:tc>
          <w:tcPr>
            <w:tcW w:w="7128" w:type="dxa"/>
          </w:tcPr>
          <w:p w14:paraId="6EEA51BF" w14:textId="77777777" w:rsidR="00A13E2C" w:rsidRDefault="00A13E2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FF96A9" wp14:editId="5243B4C0">
                  <wp:extent cx="4389120" cy="211137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11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1C3" w:rsidRPr="00161D65" w14:paraId="53FEF9C1" w14:textId="77777777" w:rsidTr="00161D65">
        <w:tc>
          <w:tcPr>
            <w:tcW w:w="3330" w:type="dxa"/>
          </w:tcPr>
          <w:p w14:paraId="259ADCF5" w14:textId="77777777" w:rsidR="005A21C3" w:rsidRDefault="005A21C3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14:paraId="411B6BAF" w14:textId="77777777" w:rsidR="005A21C3" w:rsidRDefault="005A21C3" w:rsidP="00800551">
            <w:pPr>
              <w:rPr>
                <w:noProof/>
              </w:rPr>
            </w:pPr>
          </w:p>
        </w:tc>
      </w:tr>
    </w:tbl>
    <w:p w14:paraId="77C05181" w14:textId="77777777"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6B68" w14:textId="77777777" w:rsidR="00DB3D9B" w:rsidRDefault="00DB3D9B" w:rsidP="00996C68">
      <w:r>
        <w:separator/>
      </w:r>
    </w:p>
  </w:endnote>
  <w:endnote w:type="continuationSeparator" w:id="0">
    <w:p w14:paraId="6847E6BD" w14:textId="77777777"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1D26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C689B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C689B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2660128C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FE33" w14:textId="77777777" w:rsidR="00DB3D9B" w:rsidRDefault="00DB3D9B" w:rsidP="00996C68">
      <w:r>
        <w:separator/>
      </w:r>
    </w:p>
  </w:footnote>
  <w:footnote w:type="continuationSeparator" w:id="0">
    <w:p w14:paraId="4123114E" w14:textId="77777777"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1126C"/>
    <w:rsid w:val="000202B3"/>
    <w:rsid w:val="00031167"/>
    <w:rsid w:val="00036A47"/>
    <w:rsid w:val="00037422"/>
    <w:rsid w:val="00046D31"/>
    <w:rsid w:val="00065551"/>
    <w:rsid w:val="00097987"/>
    <w:rsid w:val="000A40AE"/>
    <w:rsid w:val="000A7AED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3AE0"/>
    <w:rsid w:val="00345821"/>
    <w:rsid w:val="003500AE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066B9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21C3"/>
    <w:rsid w:val="005A65E5"/>
    <w:rsid w:val="005B714B"/>
    <w:rsid w:val="005C4C83"/>
    <w:rsid w:val="005D69D6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53B72"/>
    <w:rsid w:val="00671862"/>
    <w:rsid w:val="006845C8"/>
    <w:rsid w:val="006A60FB"/>
    <w:rsid w:val="006B429C"/>
    <w:rsid w:val="006C4BC2"/>
    <w:rsid w:val="006C689B"/>
    <w:rsid w:val="006D1E78"/>
    <w:rsid w:val="006F03AB"/>
    <w:rsid w:val="00706D9D"/>
    <w:rsid w:val="00707BBC"/>
    <w:rsid w:val="007100D6"/>
    <w:rsid w:val="0072049B"/>
    <w:rsid w:val="00731301"/>
    <w:rsid w:val="007424DD"/>
    <w:rsid w:val="007607AB"/>
    <w:rsid w:val="007871E4"/>
    <w:rsid w:val="00796837"/>
    <w:rsid w:val="007A7FF1"/>
    <w:rsid w:val="007B111E"/>
    <w:rsid w:val="007E38B9"/>
    <w:rsid w:val="007E6960"/>
    <w:rsid w:val="007F3D2C"/>
    <w:rsid w:val="00800551"/>
    <w:rsid w:val="00800E42"/>
    <w:rsid w:val="00806A57"/>
    <w:rsid w:val="00812A2C"/>
    <w:rsid w:val="00835DD3"/>
    <w:rsid w:val="0084482B"/>
    <w:rsid w:val="00853B49"/>
    <w:rsid w:val="00881603"/>
    <w:rsid w:val="00890040"/>
    <w:rsid w:val="00892948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6C68"/>
    <w:rsid w:val="009A5953"/>
    <w:rsid w:val="009B690D"/>
    <w:rsid w:val="009E2F66"/>
    <w:rsid w:val="009E381A"/>
    <w:rsid w:val="00A008BC"/>
    <w:rsid w:val="00A05D98"/>
    <w:rsid w:val="00A13E2C"/>
    <w:rsid w:val="00A41BFE"/>
    <w:rsid w:val="00A47A8C"/>
    <w:rsid w:val="00AC13A7"/>
    <w:rsid w:val="00AC3EA4"/>
    <w:rsid w:val="00AD7F09"/>
    <w:rsid w:val="00AF2E3C"/>
    <w:rsid w:val="00B02D46"/>
    <w:rsid w:val="00B169F4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268F6"/>
    <w:rsid w:val="00C74345"/>
    <w:rsid w:val="00C74D13"/>
    <w:rsid w:val="00C77DAD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271E6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E2221"/>
    <w:rsid w:val="00DF5022"/>
    <w:rsid w:val="00E46737"/>
    <w:rsid w:val="00E75341"/>
    <w:rsid w:val="00E9354B"/>
    <w:rsid w:val="00EA49CE"/>
    <w:rsid w:val="00EA6574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19B5BA"/>
  <w15:docId w15:val="{27B9F072-3ECB-42CF-A878-CD7632BB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2012-11-27T20:45:00Z</cp:lastPrinted>
  <dcterms:created xsi:type="dcterms:W3CDTF">2022-01-28T21:48:00Z</dcterms:created>
  <dcterms:modified xsi:type="dcterms:W3CDTF">2022-01-28T21:48:00Z</dcterms:modified>
</cp:coreProperties>
</file>