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Pr="00996C68" w:rsidRDefault="00842A85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 w:rsidRPr="00706D9D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2F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614426115" r:id="rId10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3F2EAC" w:rsidRPr="00E80C2F" w:rsidRDefault="003F2EAC" w:rsidP="00800E42">
      <w:pPr>
        <w:jc w:val="center"/>
        <w:rPr>
          <w:rFonts w:ascii="Calibri" w:hAnsi="Calibri" w:cs="Arial"/>
          <w:b/>
          <w:bCs/>
        </w:rPr>
      </w:pPr>
      <w:r w:rsidRPr="00E80C2F">
        <w:rPr>
          <w:rFonts w:ascii="Calibri" w:hAnsi="Calibri" w:cs="Arial"/>
          <w:b/>
          <w:bCs/>
        </w:rPr>
        <w:t xml:space="preserve">How to fix Travel &amp; Expense costs that are </w:t>
      </w:r>
    </w:p>
    <w:p w:rsidR="00800E42" w:rsidRPr="00E80C2F" w:rsidRDefault="006C3EB1" w:rsidP="00800E42">
      <w:pPr>
        <w:jc w:val="center"/>
        <w:rPr>
          <w:rFonts w:ascii="Calibri" w:hAnsi="Calibri" w:cs="Arial"/>
          <w:b/>
          <w:bCs/>
        </w:rPr>
      </w:pPr>
      <w:r w:rsidRPr="00E80C2F">
        <w:rPr>
          <w:rFonts w:ascii="Calibri" w:hAnsi="Calibri" w:cs="Arial"/>
          <w:b/>
          <w:bCs/>
        </w:rPr>
        <w:t xml:space="preserve">not </w:t>
      </w:r>
      <w:r w:rsidR="003F2EAC" w:rsidRPr="00E80C2F">
        <w:rPr>
          <w:rFonts w:ascii="Calibri" w:hAnsi="Calibri" w:cs="Arial"/>
          <w:b/>
          <w:bCs/>
        </w:rPr>
        <w:t xml:space="preserve">making it </w:t>
      </w:r>
      <w:r w:rsidR="00AA66DF" w:rsidRPr="00E80C2F">
        <w:rPr>
          <w:rFonts w:ascii="Calibri" w:hAnsi="Calibri" w:cs="Arial"/>
          <w:b/>
          <w:bCs/>
        </w:rPr>
        <w:t xml:space="preserve">to </w:t>
      </w:r>
      <w:r w:rsidR="003F2EAC" w:rsidRPr="00E80C2F">
        <w:rPr>
          <w:rFonts w:ascii="Calibri" w:hAnsi="Calibri" w:cs="Arial"/>
          <w:b/>
          <w:bCs/>
        </w:rPr>
        <w:t xml:space="preserve">the </w:t>
      </w:r>
      <w:r w:rsidR="00AA66DF" w:rsidRPr="00E80C2F">
        <w:rPr>
          <w:rFonts w:ascii="Calibri" w:hAnsi="Calibri" w:cs="Arial"/>
          <w:b/>
          <w:bCs/>
        </w:rPr>
        <w:t>Billing Worksheet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  <w:bookmarkStart w:id="0" w:name="_GoBack"/>
      <w:bookmarkEnd w:id="0"/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32"/>
        <w:gridCol w:w="6678"/>
      </w:tblGrid>
      <w:tr w:rsidR="00D63829" w:rsidRPr="00586324" w:rsidTr="00D63829">
        <w:trPr>
          <w:trHeight w:val="305"/>
        </w:trPr>
        <w:tc>
          <w:tcPr>
            <w:tcW w:w="3780" w:type="dxa"/>
            <w:gridSpan w:val="2"/>
          </w:tcPr>
          <w:p w:rsidR="00D63829" w:rsidRPr="00125514" w:rsidRDefault="00D63829" w:rsidP="00511A8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25514">
              <w:rPr>
                <w:rFonts w:ascii="Arial" w:hAnsi="Arial" w:cs="Arial"/>
                <w:b/>
                <w:noProof/>
                <w:sz w:val="22"/>
                <w:szCs w:val="22"/>
              </w:rPr>
              <w:t>Date Created:</w:t>
            </w:r>
          </w:p>
        </w:tc>
        <w:tc>
          <w:tcPr>
            <w:tcW w:w="6678" w:type="dxa"/>
          </w:tcPr>
          <w:p w:rsidR="00D63829" w:rsidRPr="00125514" w:rsidRDefault="005E4A2A" w:rsidP="00721B55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2551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10/27</w:t>
            </w:r>
            <w:r w:rsidR="00F17CC5" w:rsidRPr="0012551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/2014</w:t>
            </w:r>
          </w:p>
        </w:tc>
      </w:tr>
      <w:tr w:rsidR="00D63829" w:rsidRPr="00586324" w:rsidTr="00D63829">
        <w:trPr>
          <w:trHeight w:val="350"/>
        </w:trPr>
        <w:tc>
          <w:tcPr>
            <w:tcW w:w="3780" w:type="dxa"/>
            <w:gridSpan w:val="2"/>
          </w:tcPr>
          <w:p w:rsidR="00D63829" w:rsidRPr="00125514" w:rsidRDefault="00D63829" w:rsidP="00511A8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25514">
              <w:rPr>
                <w:rFonts w:ascii="Arial" w:hAnsi="Arial" w:cs="Arial"/>
                <w:b/>
                <w:noProof/>
                <w:sz w:val="22"/>
                <w:szCs w:val="22"/>
              </w:rPr>
              <w:t>Version:</w:t>
            </w:r>
            <w:r w:rsidR="00F50312" w:rsidRPr="0012551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678" w:type="dxa"/>
          </w:tcPr>
          <w:p w:rsidR="00D63829" w:rsidRPr="00125514" w:rsidRDefault="009C6F3A" w:rsidP="005017C7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125514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1.0</w:t>
            </w:r>
          </w:p>
        </w:tc>
      </w:tr>
      <w:tr w:rsidR="00C4667C" w:rsidRPr="00586324" w:rsidTr="00C4667C">
        <w:trPr>
          <w:trHeight w:val="368"/>
        </w:trPr>
        <w:tc>
          <w:tcPr>
            <w:tcW w:w="3780" w:type="dxa"/>
            <w:gridSpan w:val="2"/>
          </w:tcPr>
          <w:p w:rsidR="00C4667C" w:rsidRPr="00125514" w:rsidRDefault="00C4667C" w:rsidP="00650319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C4667C">
              <w:rPr>
                <w:rFonts w:ascii="Arial" w:hAnsi="Arial" w:cs="Arial"/>
                <w:b/>
                <w:noProof/>
                <w:sz w:val="22"/>
                <w:szCs w:val="22"/>
              </w:rPr>
              <w:t>Last Updated:</w:t>
            </w:r>
          </w:p>
        </w:tc>
        <w:tc>
          <w:tcPr>
            <w:tcW w:w="6678" w:type="dxa"/>
          </w:tcPr>
          <w:p w:rsidR="00C4667C" w:rsidRPr="00125514" w:rsidRDefault="00C4667C" w:rsidP="003150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2/28/2019</w:t>
            </w:r>
          </w:p>
        </w:tc>
      </w:tr>
      <w:tr w:rsidR="00161D65" w:rsidRPr="00586324" w:rsidTr="00E675A0">
        <w:trPr>
          <w:trHeight w:val="1745"/>
        </w:trPr>
        <w:tc>
          <w:tcPr>
            <w:tcW w:w="3780" w:type="dxa"/>
            <w:gridSpan w:val="2"/>
          </w:tcPr>
          <w:p w:rsidR="00161D65" w:rsidRPr="00125514" w:rsidRDefault="00650319" w:rsidP="00650319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12551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Reason for Job aid:</w:t>
            </w:r>
            <w:r w:rsidR="00F17CC5" w:rsidRPr="0012551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  </w:t>
            </w:r>
          </w:p>
          <w:p w:rsidR="00EA61A8" w:rsidRPr="00125514" w:rsidRDefault="00EA61A8" w:rsidP="00315059">
            <w:pPr>
              <w:rPr>
                <w:rFonts w:ascii="Arial" w:hAnsi="Arial" w:cs="Arial"/>
                <w:sz w:val="22"/>
                <w:szCs w:val="22"/>
              </w:rPr>
            </w:pPr>
            <w:r w:rsidRPr="00125514">
              <w:rPr>
                <w:rFonts w:ascii="Arial" w:hAnsi="Arial" w:cs="Arial"/>
                <w:sz w:val="22"/>
                <w:szCs w:val="22"/>
              </w:rPr>
              <w:t>This job aid will be helpful for those</w:t>
            </w:r>
            <w:r w:rsidR="001C07A5" w:rsidRPr="00125514">
              <w:rPr>
                <w:rFonts w:ascii="Arial" w:hAnsi="Arial" w:cs="Arial"/>
                <w:sz w:val="22"/>
                <w:szCs w:val="22"/>
              </w:rPr>
              <w:t xml:space="preserve"> agencies that use the </w:t>
            </w:r>
            <w:r w:rsidR="001B6C29" w:rsidRPr="00125514">
              <w:rPr>
                <w:rFonts w:ascii="Arial" w:hAnsi="Arial" w:cs="Arial"/>
                <w:sz w:val="22"/>
                <w:szCs w:val="22"/>
              </w:rPr>
              <w:t xml:space="preserve">Customer Contracts and </w:t>
            </w:r>
            <w:r w:rsidR="001C07A5" w:rsidRPr="00125514">
              <w:rPr>
                <w:rFonts w:ascii="Arial" w:hAnsi="Arial" w:cs="Arial"/>
                <w:sz w:val="22"/>
                <w:szCs w:val="22"/>
              </w:rPr>
              <w:t>Billing module</w:t>
            </w:r>
            <w:r w:rsidR="001B6C29" w:rsidRPr="00125514">
              <w:rPr>
                <w:rFonts w:ascii="Arial" w:hAnsi="Arial" w:cs="Arial"/>
                <w:sz w:val="22"/>
                <w:szCs w:val="22"/>
              </w:rPr>
              <w:t>s</w:t>
            </w:r>
            <w:r w:rsidR="001C07A5" w:rsidRPr="00125514">
              <w:rPr>
                <w:rFonts w:ascii="Arial" w:hAnsi="Arial" w:cs="Arial"/>
                <w:sz w:val="22"/>
                <w:szCs w:val="22"/>
              </w:rPr>
              <w:t xml:space="preserve"> in conju</w:t>
            </w:r>
            <w:r w:rsidR="003F2EAC" w:rsidRPr="00125514">
              <w:rPr>
                <w:rFonts w:ascii="Arial" w:hAnsi="Arial" w:cs="Arial"/>
                <w:sz w:val="22"/>
                <w:szCs w:val="22"/>
              </w:rPr>
              <w:t>nction with Project Costing</w:t>
            </w:r>
            <w:r w:rsidR="00256CAB" w:rsidRPr="00125514">
              <w:rPr>
                <w:rFonts w:ascii="Arial" w:hAnsi="Arial" w:cs="Arial"/>
                <w:sz w:val="22"/>
                <w:szCs w:val="22"/>
              </w:rPr>
              <w:t xml:space="preserve"> and Grants.  </w:t>
            </w:r>
          </w:p>
          <w:p w:rsidR="00EA61A8" w:rsidRPr="00125514" w:rsidRDefault="00EA61A8" w:rsidP="00315059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059" w:rsidRPr="00125514" w:rsidRDefault="00315059" w:rsidP="00315059">
            <w:pPr>
              <w:rPr>
                <w:rFonts w:ascii="Arial" w:hAnsi="Arial" w:cs="Arial"/>
              </w:rPr>
            </w:pPr>
            <w:r w:rsidRPr="00125514">
              <w:rPr>
                <w:rFonts w:ascii="Arial" w:hAnsi="Arial" w:cs="Arial"/>
              </w:rPr>
              <w:t>There are two situations where this job aid will be useful in correcting the</w:t>
            </w:r>
            <w:r w:rsidR="003F2EAC" w:rsidRPr="00125514">
              <w:rPr>
                <w:rFonts w:ascii="Arial" w:hAnsi="Arial" w:cs="Arial"/>
              </w:rPr>
              <w:t xml:space="preserve"> Travel &amp; Expense </w:t>
            </w:r>
            <w:proofErr w:type="gramStart"/>
            <w:r w:rsidR="003F2EAC" w:rsidRPr="00125514">
              <w:rPr>
                <w:rFonts w:ascii="Arial" w:hAnsi="Arial" w:cs="Arial"/>
              </w:rPr>
              <w:t>transactions</w:t>
            </w:r>
            <w:proofErr w:type="gramEnd"/>
            <w:r w:rsidR="003F2EAC" w:rsidRPr="00125514">
              <w:rPr>
                <w:rFonts w:ascii="Arial" w:hAnsi="Arial" w:cs="Arial"/>
              </w:rPr>
              <w:t xml:space="preserve"> so they</w:t>
            </w:r>
            <w:r w:rsidRPr="00125514">
              <w:rPr>
                <w:rFonts w:ascii="Arial" w:hAnsi="Arial" w:cs="Arial"/>
              </w:rPr>
              <w:t xml:space="preserve"> can be billed in SMART.</w:t>
            </w:r>
          </w:p>
          <w:p w:rsidR="00315059" w:rsidRPr="00125514" w:rsidRDefault="00C4667C" w:rsidP="0031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42334" w:rsidRPr="00125514" w:rsidRDefault="00A42334" w:rsidP="00A42334">
            <w:pPr>
              <w:rPr>
                <w:rFonts w:ascii="Arial" w:hAnsi="Arial" w:cs="Arial"/>
              </w:rPr>
            </w:pPr>
            <w:r w:rsidRPr="00125514">
              <w:rPr>
                <w:rFonts w:ascii="Arial" w:hAnsi="Arial" w:cs="Arial"/>
              </w:rPr>
              <w:t xml:space="preserve">Scenario 1: If the </w:t>
            </w:r>
            <w:r w:rsidRPr="00125514">
              <w:rPr>
                <w:rFonts w:ascii="Arial" w:hAnsi="Arial" w:cs="Arial"/>
                <w:b/>
                <w:u w:val="single"/>
              </w:rPr>
              <w:t>original</w:t>
            </w:r>
            <w:r w:rsidRPr="00125514">
              <w:rPr>
                <w:rFonts w:ascii="Arial" w:hAnsi="Arial" w:cs="Arial"/>
              </w:rPr>
              <w:t xml:space="preserve"> expense report contains lines that were changed to a Billing Type of “</w:t>
            </w:r>
            <w:r w:rsidRPr="00BB224F">
              <w:rPr>
                <w:rFonts w:ascii="Arial" w:hAnsi="Arial" w:cs="Arial"/>
                <w:b/>
                <w:u w:val="single"/>
              </w:rPr>
              <w:t>Nonbillable</w:t>
            </w:r>
            <w:r w:rsidRPr="00125514">
              <w:rPr>
                <w:rFonts w:ascii="Arial" w:hAnsi="Arial" w:cs="Arial"/>
              </w:rPr>
              <w:t xml:space="preserve">” in error, although the grant/project/activity were added to the distribution lines. </w:t>
            </w:r>
          </w:p>
          <w:p w:rsidR="00A42334" w:rsidRPr="00125514" w:rsidRDefault="00A42334" w:rsidP="00A42334">
            <w:pPr>
              <w:rPr>
                <w:rFonts w:ascii="Arial" w:hAnsi="Arial" w:cs="Arial"/>
              </w:rPr>
            </w:pPr>
          </w:p>
          <w:p w:rsidR="00A42334" w:rsidRPr="00125514" w:rsidRDefault="00A42334" w:rsidP="00A42334">
            <w:pPr>
              <w:rPr>
                <w:rFonts w:ascii="Arial" w:hAnsi="Arial" w:cs="Arial"/>
              </w:rPr>
            </w:pPr>
            <w:r w:rsidRPr="00125514">
              <w:rPr>
                <w:rFonts w:ascii="Arial" w:hAnsi="Arial" w:cs="Arial"/>
              </w:rPr>
              <w:t xml:space="preserve">Scenario 2.  If the original funding was </w:t>
            </w:r>
            <w:r w:rsidRPr="00125514">
              <w:rPr>
                <w:rFonts w:ascii="Arial" w:hAnsi="Arial" w:cs="Arial"/>
                <w:b/>
                <w:u w:val="single"/>
              </w:rPr>
              <w:t>not</w:t>
            </w:r>
            <w:r w:rsidRPr="00125514">
              <w:rPr>
                <w:rFonts w:ascii="Arial" w:hAnsi="Arial" w:cs="Arial"/>
              </w:rPr>
              <w:t xml:space="preserve"> charged to a grant/project/activity</w:t>
            </w:r>
            <w:r>
              <w:rPr>
                <w:rFonts w:ascii="Arial" w:hAnsi="Arial" w:cs="Arial"/>
              </w:rPr>
              <w:t>,</w:t>
            </w:r>
            <w:r w:rsidRPr="00125514">
              <w:rPr>
                <w:rFonts w:ascii="Arial" w:hAnsi="Arial" w:cs="Arial"/>
              </w:rPr>
              <w:t xml:space="preserve"> the Billing Type was changed to “</w:t>
            </w:r>
            <w:r w:rsidRPr="00BB224F">
              <w:rPr>
                <w:rFonts w:ascii="Arial" w:hAnsi="Arial" w:cs="Arial"/>
                <w:b/>
                <w:u w:val="single"/>
              </w:rPr>
              <w:t>Nonbillable</w:t>
            </w:r>
            <w:r w:rsidRPr="00125514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</w:t>
            </w:r>
            <w:r w:rsidRPr="00BB224F">
              <w:rPr>
                <w:rFonts w:ascii="Arial" w:hAnsi="Arial" w:cs="Arial"/>
                <w:b/>
                <w:u w:val="single"/>
              </w:rPr>
              <w:t>and</w:t>
            </w:r>
            <w:r w:rsidRPr="001255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Pr="00125514">
              <w:rPr>
                <w:rFonts w:ascii="Arial" w:hAnsi="Arial" w:cs="Arial"/>
              </w:rPr>
              <w:t>journal expense report must be completed to correct the funding.</w:t>
            </w:r>
          </w:p>
          <w:p w:rsidR="00315059" w:rsidRPr="00125514" w:rsidRDefault="00315059" w:rsidP="00315059">
            <w:pPr>
              <w:rPr>
                <w:rFonts w:ascii="Arial" w:hAnsi="Arial" w:cs="Arial"/>
              </w:rPr>
            </w:pPr>
          </w:p>
          <w:p w:rsidR="007E466D" w:rsidRPr="00125514" w:rsidRDefault="00315059" w:rsidP="00CA7998">
            <w:pPr>
              <w:rPr>
                <w:rFonts w:ascii="Arial" w:hAnsi="Arial" w:cs="Arial"/>
                <w:sz w:val="22"/>
                <w:szCs w:val="22"/>
              </w:rPr>
            </w:pPr>
            <w:r w:rsidRPr="00125514">
              <w:rPr>
                <w:rFonts w:ascii="Arial" w:hAnsi="Arial" w:cs="Arial"/>
                <w:b/>
              </w:rPr>
              <w:t>Note</w:t>
            </w:r>
            <w:r w:rsidRPr="00125514">
              <w:rPr>
                <w:rFonts w:ascii="Arial" w:hAnsi="Arial" w:cs="Arial"/>
              </w:rPr>
              <w:t xml:space="preserve">:  </w:t>
            </w:r>
            <w:r w:rsidRPr="00125514">
              <w:rPr>
                <w:rFonts w:ascii="Arial" w:hAnsi="Arial" w:cs="Arial"/>
                <w:sz w:val="22"/>
                <w:szCs w:val="22"/>
              </w:rPr>
              <w:t>Normally when any Travel and Expenses Report is created, the Billing Type defaults to “Billable” to enable overnight processes to bring these</w:t>
            </w:r>
            <w:r w:rsidR="002046B6" w:rsidRPr="00125514">
              <w:rPr>
                <w:rFonts w:ascii="Arial" w:hAnsi="Arial" w:cs="Arial"/>
                <w:sz w:val="22"/>
                <w:szCs w:val="22"/>
              </w:rPr>
              <w:t xml:space="preserve"> items into the Billing module if the agency is utilizing </w:t>
            </w:r>
            <w:r w:rsidR="0054329F" w:rsidRPr="0012551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046B6" w:rsidRPr="00125514">
              <w:rPr>
                <w:rFonts w:ascii="Arial" w:hAnsi="Arial" w:cs="Arial"/>
                <w:sz w:val="22"/>
                <w:szCs w:val="22"/>
              </w:rPr>
              <w:t>Customer Contracts and Billing</w:t>
            </w:r>
            <w:r w:rsidR="0054329F" w:rsidRPr="00125514">
              <w:rPr>
                <w:rFonts w:ascii="Arial" w:hAnsi="Arial" w:cs="Arial"/>
                <w:sz w:val="22"/>
                <w:szCs w:val="22"/>
              </w:rPr>
              <w:t xml:space="preserve"> modules</w:t>
            </w:r>
            <w:r w:rsidR="002046B6" w:rsidRPr="00125514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125514">
              <w:rPr>
                <w:rFonts w:ascii="Arial" w:hAnsi="Arial" w:cs="Arial"/>
                <w:sz w:val="22"/>
                <w:szCs w:val="22"/>
              </w:rPr>
              <w:t xml:space="preserve"> A journal expense </w:t>
            </w:r>
            <w:r w:rsidR="00CA7998">
              <w:rPr>
                <w:rFonts w:ascii="Arial" w:hAnsi="Arial" w:cs="Arial"/>
                <w:sz w:val="22"/>
                <w:szCs w:val="22"/>
              </w:rPr>
              <w:t>report</w:t>
            </w:r>
            <w:r w:rsidRPr="00125514">
              <w:rPr>
                <w:rFonts w:ascii="Arial" w:hAnsi="Arial" w:cs="Arial"/>
                <w:sz w:val="22"/>
                <w:szCs w:val="22"/>
              </w:rPr>
              <w:t xml:space="preserve"> will inherit the Billing Type from the original expense </w:t>
            </w:r>
            <w:r w:rsidR="006C3EB1" w:rsidRPr="00125514">
              <w:rPr>
                <w:rFonts w:ascii="Arial" w:hAnsi="Arial" w:cs="Arial"/>
                <w:sz w:val="22"/>
                <w:szCs w:val="22"/>
              </w:rPr>
              <w:t>report</w:t>
            </w:r>
            <w:r w:rsidRPr="001255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78" w:type="dxa"/>
          </w:tcPr>
          <w:p w:rsidR="00315059" w:rsidRPr="00125514" w:rsidRDefault="004006BC" w:rsidP="00315059">
            <w:pPr>
              <w:rPr>
                <w:rFonts w:ascii="Arial" w:hAnsi="Arial" w:cs="Arial"/>
                <w:sz w:val="22"/>
                <w:szCs w:val="22"/>
              </w:rPr>
            </w:pPr>
            <w:r w:rsidRPr="00125514">
              <w:rPr>
                <w:rFonts w:ascii="Arial" w:hAnsi="Arial" w:cs="Arial"/>
                <w:sz w:val="22"/>
                <w:szCs w:val="22"/>
              </w:rPr>
              <w:t>For Scenario 1:</w:t>
            </w:r>
            <w:r w:rsidR="00315059" w:rsidRPr="00125514">
              <w:rPr>
                <w:rFonts w:ascii="Arial" w:hAnsi="Arial" w:cs="Arial"/>
                <w:sz w:val="22"/>
                <w:szCs w:val="22"/>
              </w:rPr>
              <w:t xml:space="preserve">  Proceed to Step 1.</w:t>
            </w:r>
          </w:p>
          <w:p w:rsidR="00315059" w:rsidRPr="00125514" w:rsidRDefault="00315059" w:rsidP="00315059">
            <w:pPr>
              <w:rPr>
                <w:rFonts w:ascii="Arial" w:hAnsi="Arial" w:cs="Arial"/>
                <w:sz w:val="22"/>
                <w:szCs w:val="22"/>
              </w:rPr>
            </w:pPr>
          </w:p>
          <w:p w:rsidR="00315059" w:rsidRPr="00125514" w:rsidRDefault="004006BC" w:rsidP="00315059">
            <w:pPr>
              <w:rPr>
                <w:rFonts w:ascii="Arial" w:hAnsi="Arial" w:cs="Arial"/>
                <w:sz w:val="22"/>
                <w:szCs w:val="22"/>
              </w:rPr>
            </w:pPr>
            <w:r w:rsidRPr="00125514">
              <w:rPr>
                <w:rFonts w:ascii="Arial" w:hAnsi="Arial" w:cs="Arial"/>
                <w:sz w:val="22"/>
                <w:szCs w:val="22"/>
              </w:rPr>
              <w:t>For Scenario 2:</w:t>
            </w:r>
            <w:r w:rsidR="00315059" w:rsidRPr="00125514">
              <w:rPr>
                <w:rFonts w:ascii="Arial" w:hAnsi="Arial" w:cs="Arial"/>
                <w:sz w:val="22"/>
                <w:szCs w:val="22"/>
              </w:rPr>
              <w:t xml:space="preserve">  The </w:t>
            </w:r>
            <w:r w:rsidR="00AF4E07" w:rsidRPr="00125514">
              <w:rPr>
                <w:rFonts w:ascii="Arial" w:hAnsi="Arial" w:cs="Arial"/>
                <w:sz w:val="22"/>
                <w:szCs w:val="22"/>
              </w:rPr>
              <w:t xml:space="preserve">agency </w:t>
            </w:r>
            <w:r w:rsidR="00F17CC5" w:rsidRPr="00125514">
              <w:rPr>
                <w:rFonts w:ascii="Arial" w:hAnsi="Arial" w:cs="Arial"/>
                <w:b/>
                <w:sz w:val="22"/>
                <w:szCs w:val="22"/>
              </w:rPr>
              <w:t>Travel and Expenses Maintainer</w:t>
            </w:r>
            <w:r w:rsidR="00F17CC5" w:rsidRPr="00125514">
              <w:rPr>
                <w:rFonts w:ascii="Arial" w:hAnsi="Arial" w:cs="Arial"/>
                <w:sz w:val="22"/>
                <w:szCs w:val="22"/>
              </w:rPr>
              <w:t xml:space="preserve"> will create the Journal Expense Report</w:t>
            </w:r>
            <w:r w:rsidR="003A61A0" w:rsidRPr="00125514">
              <w:rPr>
                <w:rFonts w:ascii="Arial" w:hAnsi="Arial" w:cs="Arial"/>
                <w:sz w:val="22"/>
                <w:szCs w:val="22"/>
              </w:rPr>
              <w:t xml:space="preserve"> following the instructions on</w:t>
            </w:r>
            <w:r w:rsidR="00AF4E07" w:rsidRPr="0012551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hyperlink r:id="rId11" w:history="1">
              <w:r w:rsidR="00AF4E07" w:rsidRPr="0012551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Creating a Journal Expense Report</w:t>
              </w:r>
            </w:hyperlink>
            <w:r w:rsidR="003F2EAC" w:rsidRPr="00125514">
              <w:rPr>
                <w:rFonts w:ascii="Arial" w:hAnsi="Arial" w:cs="Arial"/>
                <w:sz w:val="22"/>
                <w:szCs w:val="22"/>
                <w:u w:val="single"/>
              </w:rPr>
              <w:t xml:space="preserve">. </w:t>
            </w:r>
          </w:p>
          <w:p w:rsidR="00315059" w:rsidRPr="00125514" w:rsidRDefault="00315059" w:rsidP="00315059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F9C" w:rsidRPr="00125514" w:rsidRDefault="00F17CC5" w:rsidP="00315059">
            <w:pPr>
              <w:rPr>
                <w:rFonts w:ascii="Arial" w:hAnsi="Arial" w:cs="Arial"/>
                <w:sz w:val="22"/>
                <w:szCs w:val="22"/>
              </w:rPr>
            </w:pPr>
            <w:r w:rsidRPr="00125514">
              <w:rPr>
                <w:rFonts w:ascii="Arial" w:hAnsi="Arial" w:cs="Arial"/>
                <w:sz w:val="22"/>
                <w:szCs w:val="22"/>
              </w:rPr>
              <w:t>SMART</w:t>
            </w:r>
            <w:r w:rsidR="00AF4E07" w:rsidRPr="00125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5514">
              <w:rPr>
                <w:rFonts w:ascii="Arial" w:hAnsi="Arial" w:cs="Arial"/>
                <w:sz w:val="22"/>
                <w:szCs w:val="22"/>
              </w:rPr>
              <w:t>does not automatically pick up the journal entries</w:t>
            </w:r>
            <w:r w:rsidR="00646E84" w:rsidRPr="00125514">
              <w:rPr>
                <w:rFonts w:ascii="Arial" w:hAnsi="Arial" w:cs="Arial"/>
                <w:sz w:val="22"/>
                <w:szCs w:val="22"/>
              </w:rPr>
              <w:t xml:space="preserve"> because </w:t>
            </w:r>
            <w:r w:rsidR="00CC5687" w:rsidRPr="00125514">
              <w:rPr>
                <w:rFonts w:ascii="Arial" w:hAnsi="Arial" w:cs="Arial"/>
                <w:sz w:val="22"/>
                <w:szCs w:val="22"/>
              </w:rPr>
              <w:t>these cannot</w:t>
            </w:r>
            <w:r w:rsidR="00646E84" w:rsidRPr="00125514">
              <w:rPr>
                <w:rFonts w:ascii="Arial" w:hAnsi="Arial" w:cs="Arial"/>
                <w:sz w:val="22"/>
                <w:szCs w:val="22"/>
              </w:rPr>
              <w:t xml:space="preserve"> be marked as “Billable”</w:t>
            </w:r>
            <w:r w:rsidRPr="00125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059" w:rsidRPr="00125514">
              <w:rPr>
                <w:rFonts w:ascii="Arial" w:hAnsi="Arial" w:cs="Arial"/>
                <w:sz w:val="22"/>
                <w:szCs w:val="22"/>
              </w:rPr>
              <w:t xml:space="preserve">anywhere on the journal expense report. </w:t>
            </w:r>
          </w:p>
          <w:p w:rsidR="007E466D" w:rsidRPr="00125514" w:rsidRDefault="007E466D" w:rsidP="00315059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66D" w:rsidRPr="00125514" w:rsidRDefault="007E466D" w:rsidP="00315059">
            <w:pPr>
              <w:rPr>
                <w:rFonts w:ascii="Arial" w:hAnsi="Arial" w:cs="Arial"/>
                <w:sz w:val="22"/>
                <w:szCs w:val="22"/>
              </w:rPr>
            </w:pPr>
            <w:r w:rsidRPr="00125514">
              <w:rPr>
                <w:rFonts w:ascii="Arial" w:hAnsi="Arial" w:cs="Arial"/>
                <w:sz w:val="22"/>
                <w:szCs w:val="22"/>
              </w:rPr>
              <w:t>Once the journal processes</w:t>
            </w:r>
            <w:r w:rsidR="002B61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423C">
              <w:rPr>
                <w:rFonts w:ascii="Arial" w:hAnsi="Arial" w:cs="Arial"/>
                <w:sz w:val="22"/>
                <w:szCs w:val="22"/>
              </w:rPr>
              <w:t>and has a Journal Status of “P” (Posted) and Budget Status of “V” (Valid)</w:t>
            </w:r>
            <w:r w:rsidRPr="00125514">
              <w:rPr>
                <w:rFonts w:ascii="Arial" w:hAnsi="Arial" w:cs="Arial"/>
                <w:sz w:val="22"/>
                <w:szCs w:val="22"/>
              </w:rPr>
              <w:t>, proceed to Step 1.</w:t>
            </w:r>
          </w:p>
        </w:tc>
      </w:tr>
      <w:tr w:rsidR="00C4667C" w:rsidRPr="00586324" w:rsidTr="00E675A0">
        <w:tc>
          <w:tcPr>
            <w:tcW w:w="648" w:type="dxa"/>
          </w:tcPr>
          <w:p w:rsidR="00C4667C" w:rsidRPr="00586324" w:rsidRDefault="00C4667C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C4667C" w:rsidRPr="00125514" w:rsidRDefault="00C4667C" w:rsidP="00DD74C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78" w:type="dxa"/>
          </w:tcPr>
          <w:p w:rsidR="00C4667C" w:rsidRPr="00586324" w:rsidRDefault="00C4667C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  <w:tr w:rsidR="00161D65" w:rsidRPr="00586324" w:rsidTr="00E675A0">
        <w:tc>
          <w:tcPr>
            <w:tcW w:w="648" w:type="dxa"/>
          </w:tcPr>
          <w:p w:rsidR="00161D65" w:rsidRPr="00586324" w:rsidRDefault="007B1262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586324">
              <w:rPr>
                <w:rFonts w:ascii="Calibri" w:hAnsi="Calibri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132" w:type="dxa"/>
          </w:tcPr>
          <w:p w:rsidR="00EF043A" w:rsidRPr="00E80C2F" w:rsidRDefault="00E80C2F" w:rsidP="00DD74C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Navigation</w:t>
            </w:r>
            <w:r w:rsidR="00646E84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  <w:r w:rsidR="004959AC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4667C">
              <w:rPr>
                <w:rFonts w:ascii="Arial" w:hAnsi="Arial" w:cs="Arial"/>
                <w:noProof/>
                <w:sz w:val="22"/>
                <w:szCs w:val="22"/>
              </w:rPr>
              <w:t xml:space="preserve">Projects and Grants Homepage &gt; </w:t>
            </w:r>
            <w:r w:rsidR="00F50312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Project Costing &gt; </w:t>
            </w:r>
            <w:r w:rsidR="00C4667C">
              <w:rPr>
                <w:rFonts w:ascii="Arial" w:hAnsi="Arial" w:cs="Arial"/>
                <w:noProof/>
                <w:sz w:val="22"/>
                <w:szCs w:val="22"/>
              </w:rPr>
              <w:t>Manage Projects</w:t>
            </w:r>
            <w:r w:rsidR="00F50312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&gt; Manager Transaction Review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Navigator &gt; 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>Project Costing &gt; Interactive Reports &gt; Manager Transaction Review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:rsidR="009E0A17" w:rsidRPr="00125514" w:rsidRDefault="009E0A17" w:rsidP="00DD74C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E0A17" w:rsidRPr="00125514" w:rsidRDefault="009E0A17" w:rsidP="009E0A1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The </w:t>
            </w:r>
            <w:r w:rsidRPr="00125514">
              <w:rPr>
                <w:rFonts w:ascii="Arial" w:hAnsi="Arial" w:cs="Arial"/>
                <w:b/>
                <w:noProof/>
                <w:sz w:val="22"/>
                <w:szCs w:val="22"/>
              </w:rPr>
              <w:t>Agency Projects Manager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1B6C29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or </w:t>
            </w:r>
            <w:r w:rsidR="001B6C29" w:rsidRPr="00125514">
              <w:rPr>
                <w:rFonts w:ascii="Arial" w:hAnsi="Arial" w:cs="Arial"/>
                <w:b/>
                <w:noProof/>
                <w:sz w:val="22"/>
                <w:szCs w:val="22"/>
              </w:rPr>
              <w:t>Agency Grants Manager</w:t>
            </w:r>
            <w:r w:rsidR="001B6C29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will have the ability to view and update this process.  </w:t>
            </w:r>
            <w:r w:rsidR="00CC5687" w:rsidRPr="00125514">
              <w:rPr>
                <w:rFonts w:ascii="Arial" w:hAnsi="Arial" w:cs="Arial"/>
                <w:noProof/>
                <w:sz w:val="22"/>
                <w:szCs w:val="22"/>
              </w:rPr>
              <w:t>At a minmum, enter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the Project Business Unit and Project.  Other criteria, such as Activity, Employee ID, From Date, and</w:t>
            </w:r>
            <w:r w:rsidR="007E7699">
              <w:rPr>
                <w:rFonts w:ascii="Arial" w:hAnsi="Arial" w:cs="Arial"/>
                <w:noProof/>
                <w:sz w:val="22"/>
                <w:szCs w:val="22"/>
              </w:rPr>
              <w:t xml:space="preserve"> Through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Date will limit your results, as desired.  The Detail radio button should be selected.  Click the Search button.</w:t>
            </w:r>
          </w:p>
          <w:p w:rsidR="009E0A17" w:rsidRPr="00125514" w:rsidRDefault="009E0A17" w:rsidP="00DD74C1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78" w:type="dxa"/>
          </w:tcPr>
          <w:p w:rsidR="004959AC" w:rsidRPr="00586324" w:rsidRDefault="004959AC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4959AC" w:rsidRPr="00586324" w:rsidRDefault="00842A85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586324">
              <w:rPr>
                <w:rFonts w:ascii="Calibri" w:hAnsi="Calibri"/>
                <w:noProof/>
              </w:rPr>
              <w:drawing>
                <wp:inline distT="0" distB="0" distL="0" distR="0">
                  <wp:extent cx="4124325" cy="2371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193" w:rsidRPr="00586324" w:rsidRDefault="00392193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  <w:tr w:rsidR="009E0A17" w:rsidRPr="00586324" w:rsidTr="00E675A0">
        <w:tc>
          <w:tcPr>
            <w:tcW w:w="648" w:type="dxa"/>
          </w:tcPr>
          <w:p w:rsidR="009E0A17" w:rsidRPr="00586324" w:rsidRDefault="009E0A17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9E0A17" w:rsidRPr="00125514" w:rsidRDefault="009E0A17" w:rsidP="00AF581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78" w:type="dxa"/>
          </w:tcPr>
          <w:p w:rsidR="009E0A17" w:rsidRPr="00586324" w:rsidRDefault="009E0A17" w:rsidP="00161D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0A17" w:rsidRPr="00586324" w:rsidTr="008A4C95">
        <w:trPr>
          <w:trHeight w:val="1403"/>
        </w:trPr>
        <w:tc>
          <w:tcPr>
            <w:tcW w:w="648" w:type="dxa"/>
          </w:tcPr>
          <w:p w:rsidR="009E0A17" w:rsidRPr="00586324" w:rsidRDefault="009E0A17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586324">
              <w:rPr>
                <w:rFonts w:ascii="Calibri" w:hAnsi="Calibri" w:cs="Arial"/>
                <w:noProof/>
                <w:sz w:val="22"/>
                <w:szCs w:val="22"/>
              </w:rPr>
              <w:t>2.</w:t>
            </w:r>
          </w:p>
        </w:tc>
        <w:tc>
          <w:tcPr>
            <w:tcW w:w="3132" w:type="dxa"/>
          </w:tcPr>
          <w:p w:rsidR="009E0A17" w:rsidRPr="00125514" w:rsidRDefault="00CC5687" w:rsidP="00AF4E2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When the results are displayed on the </w:t>
            </w:r>
            <w:r w:rsidR="00E87ED3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Cost Review 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>tab</w:t>
            </w:r>
            <w:r w:rsidR="00E87ED3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="009E0A17" w:rsidRPr="00125514">
              <w:rPr>
                <w:rFonts w:ascii="Arial" w:hAnsi="Arial" w:cs="Arial"/>
                <w:noProof/>
                <w:sz w:val="22"/>
                <w:szCs w:val="22"/>
              </w:rPr>
              <w:t>cl</w:t>
            </w:r>
            <w:r w:rsidR="00E87ED3" w:rsidRPr="00125514">
              <w:rPr>
                <w:rFonts w:ascii="Arial" w:hAnsi="Arial" w:cs="Arial"/>
                <w:noProof/>
                <w:sz w:val="22"/>
                <w:szCs w:val="22"/>
              </w:rPr>
              <w:t>ick the Transaction Details tab</w:t>
            </w:r>
            <w:r w:rsidR="00EE6CE6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and locate the transaction</w:t>
            </w:r>
            <w:r w:rsidR="00A371D6" w:rsidRPr="00125514">
              <w:rPr>
                <w:rFonts w:ascii="Arial" w:hAnsi="Arial" w:cs="Arial"/>
                <w:noProof/>
                <w:sz w:val="22"/>
                <w:szCs w:val="22"/>
              </w:rPr>
              <w:t>.  (C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>lick the “View All” to display results</w:t>
            </w:r>
            <w:r w:rsidR="00A371D6" w:rsidRPr="00125514">
              <w:rPr>
                <w:rFonts w:ascii="Arial" w:hAnsi="Arial" w:cs="Arial"/>
                <w:noProof/>
                <w:sz w:val="22"/>
                <w:szCs w:val="22"/>
              </w:rPr>
              <w:t>, if necessary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>.)</w:t>
            </w:r>
          </w:p>
        </w:tc>
        <w:tc>
          <w:tcPr>
            <w:tcW w:w="6678" w:type="dxa"/>
          </w:tcPr>
          <w:p w:rsidR="009E0A17" w:rsidRPr="00586324" w:rsidRDefault="00842A85" w:rsidP="00161D65">
            <w:pPr>
              <w:rPr>
                <w:rFonts w:ascii="Calibri" w:hAnsi="Calibri" w:cs="Arial"/>
                <w:sz w:val="22"/>
                <w:szCs w:val="22"/>
              </w:rPr>
            </w:pPr>
            <w:r w:rsidRPr="00586324">
              <w:rPr>
                <w:rFonts w:ascii="Calibri" w:hAnsi="Calibri"/>
                <w:noProof/>
              </w:rPr>
              <w:drawing>
                <wp:inline distT="0" distB="0" distL="0" distR="0">
                  <wp:extent cx="4162425" cy="26384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17" w:rsidRPr="00586324" w:rsidTr="00E675A0">
        <w:tc>
          <w:tcPr>
            <w:tcW w:w="648" w:type="dxa"/>
          </w:tcPr>
          <w:p w:rsidR="009E0A17" w:rsidRPr="00586324" w:rsidRDefault="009E0A17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9E0A17" w:rsidRPr="00125514" w:rsidRDefault="009E0A17" w:rsidP="008A4C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8" w:type="dxa"/>
          </w:tcPr>
          <w:p w:rsidR="009E0A17" w:rsidRPr="00586324" w:rsidRDefault="009E0A17" w:rsidP="006B610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0A17" w:rsidRPr="00586324" w:rsidTr="00E675A0">
        <w:tc>
          <w:tcPr>
            <w:tcW w:w="648" w:type="dxa"/>
          </w:tcPr>
          <w:p w:rsidR="009E0A17" w:rsidRPr="00586324" w:rsidRDefault="009E0A17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586324">
              <w:rPr>
                <w:rFonts w:ascii="Calibri" w:hAnsi="Calibri" w:cs="Arial"/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132" w:type="dxa"/>
          </w:tcPr>
          <w:p w:rsidR="009E0A17" w:rsidRPr="00125514" w:rsidRDefault="00AF4E24" w:rsidP="0035473E">
            <w:pPr>
              <w:rPr>
                <w:rFonts w:ascii="Arial" w:hAnsi="Arial" w:cs="Arial"/>
                <w:sz w:val="22"/>
                <w:szCs w:val="22"/>
              </w:rPr>
            </w:pP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Under the Billing Status column, you have the ability to toggle the expense from “Nonbillable” to “Billable”.  Depending on whether </w:t>
            </w:r>
            <w:r w:rsidR="0035473E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all 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>the transactions had previo</w:t>
            </w:r>
            <w:r w:rsidR="0035473E" w:rsidRPr="00125514">
              <w:rPr>
                <w:rFonts w:ascii="Arial" w:hAnsi="Arial" w:cs="Arial"/>
                <w:noProof/>
                <w:sz w:val="22"/>
                <w:szCs w:val="22"/>
              </w:rPr>
              <w:t>usly been r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eviewed, </w:t>
            </w:r>
            <w:r w:rsidR="00A97F88" w:rsidRPr="00125514">
              <w:rPr>
                <w:rFonts w:ascii="Arial" w:hAnsi="Arial" w:cs="Arial"/>
                <w:noProof/>
                <w:sz w:val="22"/>
                <w:szCs w:val="22"/>
              </w:rPr>
              <w:t>confirm the check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box in the </w:t>
            </w:r>
            <w:r w:rsidR="0035473E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corrected line is selected in the “Reviewed” column.  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>Click the Save button.</w:t>
            </w:r>
          </w:p>
        </w:tc>
        <w:tc>
          <w:tcPr>
            <w:tcW w:w="6678" w:type="dxa"/>
          </w:tcPr>
          <w:p w:rsidR="009E0A17" w:rsidRPr="00586324" w:rsidRDefault="00842A85" w:rsidP="006B6101">
            <w:pPr>
              <w:rPr>
                <w:rFonts w:ascii="Calibri" w:hAnsi="Calibri"/>
                <w:noProof/>
              </w:rPr>
            </w:pPr>
            <w:r w:rsidRPr="00586324">
              <w:rPr>
                <w:rFonts w:ascii="Calibri" w:hAnsi="Calibri"/>
                <w:noProof/>
              </w:rPr>
              <w:drawing>
                <wp:inline distT="0" distB="0" distL="0" distR="0">
                  <wp:extent cx="4114800" cy="24574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A17" w:rsidRPr="00586324" w:rsidRDefault="009E0A17" w:rsidP="006B610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0A17" w:rsidRPr="00586324" w:rsidTr="00E675A0">
        <w:tc>
          <w:tcPr>
            <w:tcW w:w="648" w:type="dxa"/>
          </w:tcPr>
          <w:p w:rsidR="009E0A17" w:rsidRPr="00586324" w:rsidRDefault="009E0A17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586324">
              <w:rPr>
                <w:rFonts w:ascii="Calibri" w:hAnsi="Calibri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132" w:type="dxa"/>
          </w:tcPr>
          <w:p w:rsidR="009E0A17" w:rsidRPr="00125514" w:rsidRDefault="00E80C2F" w:rsidP="0035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Navigation</w:t>
            </w:r>
            <w:r w:rsidR="00A371D6" w:rsidRPr="00125514">
              <w:rPr>
                <w:rFonts w:ascii="Arial" w:hAnsi="Arial" w:cs="Arial"/>
                <w:sz w:val="22"/>
                <w:szCs w:val="22"/>
              </w:rPr>
              <w:t xml:space="preserve">:  Billing </w:t>
            </w:r>
            <w:r w:rsidR="00C4667C">
              <w:rPr>
                <w:rFonts w:ascii="Arial" w:hAnsi="Arial" w:cs="Arial"/>
                <w:sz w:val="22"/>
                <w:szCs w:val="22"/>
              </w:rPr>
              <w:t xml:space="preserve">Homepage </w:t>
            </w:r>
            <w:r w:rsidR="00A371D6" w:rsidRPr="00125514">
              <w:rPr>
                <w:rFonts w:ascii="Arial" w:hAnsi="Arial" w:cs="Arial"/>
                <w:sz w:val="22"/>
                <w:szCs w:val="22"/>
              </w:rPr>
              <w:t xml:space="preserve">&gt; </w:t>
            </w:r>
            <w:r w:rsidR="0077794F">
              <w:rPr>
                <w:rFonts w:ascii="Arial" w:hAnsi="Arial" w:cs="Arial"/>
                <w:sz w:val="22"/>
                <w:szCs w:val="22"/>
              </w:rPr>
              <w:t>Process Billing Worksheets &gt; Non-</w:t>
            </w:r>
            <w:proofErr w:type="spellStart"/>
            <w:r w:rsidR="0077794F">
              <w:rPr>
                <w:rFonts w:ascii="Arial" w:hAnsi="Arial" w:cs="Arial"/>
                <w:sz w:val="22"/>
                <w:szCs w:val="22"/>
              </w:rPr>
              <w:t>Consol</w:t>
            </w:r>
            <w:proofErr w:type="spellEnd"/>
            <w:r w:rsidR="0077794F">
              <w:rPr>
                <w:rFonts w:ascii="Arial" w:hAnsi="Arial" w:cs="Arial"/>
                <w:sz w:val="22"/>
                <w:szCs w:val="22"/>
              </w:rPr>
              <w:t xml:space="preserve"> Invoice Processing &gt;</w:t>
            </w:r>
            <w:r>
              <w:rPr>
                <w:rFonts w:ascii="Arial" w:hAnsi="Arial" w:cs="Arial"/>
                <w:sz w:val="22"/>
                <w:szCs w:val="22"/>
              </w:rPr>
              <w:t xml:space="preserve"> Update Billing Worksheet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 xml:space="preserve">Navigator &gt; </w:t>
            </w:r>
            <w:r w:rsidRPr="00125514">
              <w:rPr>
                <w:rFonts w:ascii="Arial" w:hAnsi="Arial" w:cs="Arial"/>
                <w:sz w:val="22"/>
                <w:szCs w:val="22"/>
              </w:rPr>
              <w:t>Billing &gt; Manage Billing Worksheet &gt; Update Billing Worksheet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371D6" w:rsidRPr="00125514">
              <w:rPr>
                <w:rFonts w:ascii="Arial" w:hAnsi="Arial" w:cs="Arial"/>
                <w:sz w:val="22"/>
                <w:szCs w:val="22"/>
              </w:rPr>
              <w:t xml:space="preserve"> The item should be picked up by the overnight bat</w:t>
            </w:r>
            <w:r w:rsidR="007C3C9B" w:rsidRPr="00125514">
              <w:rPr>
                <w:rFonts w:ascii="Arial" w:hAnsi="Arial" w:cs="Arial"/>
                <w:sz w:val="22"/>
                <w:szCs w:val="22"/>
              </w:rPr>
              <w:t>ch processes and appear on the billing w</w:t>
            </w:r>
            <w:r w:rsidR="00A371D6" w:rsidRPr="00125514">
              <w:rPr>
                <w:rFonts w:ascii="Arial" w:hAnsi="Arial" w:cs="Arial"/>
                <w:sz w:val="22"/>
                <w:szCs w:val="22"/>
              </w:rPr>
              <w:t xml:space="preserve">orksheet the following day.  </w:t>
            </w:r>
          </w:p>
          <w:p w:rsidR="00A371D6" w:rsidRPr="00125514" w:rsidRDefault="00A371D6" w:rsidP="003547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371D6" w:rsidRPr="00125514" w:rsidRDefault="00A371D6" w:rsidP="0035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9E0A17" w:rsidRPr="00586324" w:rsidRDefault="00842A85" w:rsidP="00D155F3">
            <w:pPr>
              <w:rPr>
                <w:rFonts w:ascii="Calibri" w:hAnsi="Calibri" w:cs="Arial"/>
                <w:sz w:val="22"/>
                <w:szCs w:val="22"/>
              </w:rPr>
            </w:pPr>
            <w:r w:rsidRPr="00586324">
              <w:rPr>
                <w:rFonts w:ascii="Calibri" w:hAnsi="Calibri"/>
                <w:noProof/>
              </w:rPr>
              <w:drawing>
                <wp:inline distT="0" distB="0" distL="0" distR="0">
                  <wp:extent cx="4171950" cy="15335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67C" w:rsidRPr="00586324" w:rsidTr="00E675A0">
        <w:tc>
          <w:tcPr>
            <w:tcW w:w="648" w:type="dxa"/>
          </w:tcPr>
          <w:p w:rsidR="00C4667C" w:rsidRPr="00586324" w:rsidRDefault="00C4667C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C4667C" w:rsidRPr="00125514" w:rsidRDefault="00C4667C" w:rsidP="003547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678" w:type="dxa"/>
          </w:tcPr>
          <w:p w:rsidR="00C4667C" w:rsidRPr="00586324" w:rsidRDefault="00C4667C" w:rsidP="00D15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71D6" w:rsidRPr="00586324" w:rsidTr="00E675A0">
        <w:tc>
          <w:tcPr>
            <w:tcW w:w="648" w:type="dxa"/>
          </w:tcPr>
          <w:p w:rsidR="00A371D6" w:rsidRPr="00586324" w:rsidRDefault="00A371D6" w:rsidP="00161D6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586324">
              <w:rPr>
                <w:rFonts w:ascii="Calibri" w:hAnsi="Calibri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132" w:type="dxa"/>
          </w:tcPr>
          <w:p w:rsidR="008336BA" w:rsidRPr="00125514" w:rsidRDefault="007C3C9B" w:rsidP="0035473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25514">
              <w:rPr>
                <w:rFonts w:ascii="Arial" w:hAnsi="Arial" w:cs="Arial"/>
                <w:noProof/>
                <w:sz w:val="22"/>
                <w:szCs w:val="22"/>
              </w:rPr>
              <w:t>Depending</w:t>
            </w:r>
            <w:r w:rsidR="00A371D6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on the dates of the 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>original transactions, some costs</w:t>
            </w:r>
            <w:r w:rsidR="00A371D6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may not be picked 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up </w:t>
            </w:r>
            <w:r w:rsidR="00A371D6" w:rsidRPr="00125514">
              <w:rPr>
                <w:rFonts w:ascii="Arial" w:hAnsi="Arial" w:cs="Arial"/>
                <w:noProof/>
                <w:sz w:val="22"/>
                <w:szCs w:val="22"/>
              </w:rPr>
              <w:t>during the overnight p</w:t>
            </w:r>
            <w:r w:rsidRPr="00125514">
              <w:rPr>
                <w:rFonts w:ascii="Arial" w:hAnsi="Arial" w:cs="Arial"/>
                <w:noProof/>
                <w:sz w:val="22"/>
                <w:szCs w:val="22"/>
              </w:rPr>
              <w:t>rocesses and not appear on the billing w</w:t>
            </w:r>
            <w:r w:rsidR="00A371D6" w:rsidRPr="00125514">
              <w:rPr>
                <w:rFonts w:ascii="Arial" w:hAnsi="Arial" w:cs="Arial"/>
                <w:noProof/>
                <w:sz w:val="22"/>
                <w:szCs w:val="22"/>
              </w:rPr>
              <w:t>orksheet the following day.  If this occurs, submit a Service Desk ticket indicating the above process has been completed and include the Project, Activity, and Accounting Date of t</w:t>
            </w:r>
            <w:r w:rsidR="00D9156C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he transaction.  A SMART Team member will </w:t>
            </w:r>
            <w:r w:rsidR="00FF6EC6">
              <w:rPr>
                <w:rFonts w:ascii="Arial" w:hAnsi="Arial" w:cs="Arial"/>
                <w:noProof/>
                <w:sz w:val="22"/>
                <w:szCs w:val="22"/>
              </w:rPr>
              <w:t xml:space="preserve">need to </w:t>
            </w:r>
            <w:r w:rsidR="00D9156C" w:rsidRPr="00125514">
              <w:rPr>
                <w:rFonts w:ascii="Arial" w:hAnsi="Arial" w:cs="Arial"/>
                <w:noProof/>
                <w:sz w:val="22"/>
                <w:szCs w:val="22"/>
              </w:rPr>
              <w:t>man</w:t>
            </w:r>
            <w:r w:rsidR="00FF6EC6">
              <w:rPr>
                <w:rFonts w:ascii="Arial" w:hAnsi="Arial" w:cs="Arial"/>
                <w:noProof/>
                <w:sz w:val="22"/>
                <w:szCs w:val="22"/>
              </w:rPr>
              <w:t>ually</w:t>
            </w:r>
            <w:r w:rsidR="00D9156C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process your transaction</w:t>
            </w:r>
            <w:r w:rsidR="007E466D" w:rsidRPr="00125514">
              <w:rPr>
                <w:rFonts w:ascii="Arial" w:hAnsi="Arial" w:cs="Arial"/>
                <w:noProof/>
                <w:sz w:val="22"/>
                <w:szCs w:val="22"/>
              </w:rPr>
              <w:t>(s)</w:t>
            </w:r>
            <w:r w:rsidR="00D9156C"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to the billing worksheet.</w:t>
            </w:r>
          </w:p>
          <w:p w:rsidR="00A371D6" w:rsidRPr="00125514" w:rsidRDefault="00A371D6" w:rsidP="0035473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2551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678" w:type="dxa"/>
          </w:tcPr>
          <w:p w:rsidR="00A371D6" w:rsidRPr="00586324" w:rsidRDefault="00A371D6" w:rsidP="00D155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35629" w:rsidRPr="00586324" w:rsidRDefault="00D35629" w:rsidP="00143910">
      <w:pPr>
        <w:spacing w:after="100" w:afterAutospacing="1"/>
        <w:rPr>
          <w:rFonts w:ascii="Calibri" w:hAnsi="Calibri"/>
        </w:rPr>
      </w:pPr>
    </w:p>
    <w:sectPr w:rsidR="00D35629" w:rsidRPr="00586324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7C" w:rsidRDefault="00C4667C" w:rsidP="00996C68">
      <w:r>
        <w:separator/>
      </w:r>
    </w:p>
  </w:endnote>
  <w:endnote w:type="continuationSeparator" w:id="0">
    <w:p w:rsidR="00C4667C" w:rsidRDefault="00C4667C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67C" w:rsidRPr="00996C68" w:rsidRDefault="00C4667C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C4667C" w:rsidRDefault="00C46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7C" w:rsidRDefault="00C4667C" w:rsidP="00996C68">
      <w:r>
        <w:separator/>
      </w:r>
    </w:p>
  </w:footnote>
  <w:footnote w:type="continuationSeparator" w:id="0">
    <w:p w:rsidR="00C4667C" w:rsidRDefault="00C4667C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D8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8CA"/>
    <w:multiLevelType w:val="hybridMultilevel"/>
    <w:tmpl w:val="C76A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481A"/>
    <w:rsid w:val="00017C04"/>
    <w:rsid w:val="000202B3"/>
    <w:rsid w:val="00031167"/>
    <w:rsid w:val="00032FD6"/>
    <w:rsid w:val="00046D31"/>
    <w:rsid w:val="0006206A"/>
    <w:rsid w:val="00065551"/>
    <w:rsid w:val="000656B0"/>
    <w:rsid w:val="00076522"/>
    <w:rsid w:val="0009334C"/>
    <w:rsid w:val="000A4B56"/>
    <w:rsid w:val="000C442B"/>
    <w:rsid w:val="000E69AC"/>
    <w:rsid w:val="000E7D16"/>
    <w:rsid w:val="000F293F"/>
    <w:rsid w:val="000F5E43"/>
    <w:rsid w:val="00100C48"/>
    <w:rsid w:val="00112160"/>
    <w:rsid w:val="00125514"/>
    <w:rsid w:val="00143910"/>
    <w:rsid w:val="00145465"/>
    <w:rsid w:val="00157F39"/>
    <w:rsid w:val="00161D65"/>
    <w:rsid w:val="00172439"/>
    <w:rsid w:val="001732DD"/>
    <w:rsid w:val="001809B3"/>
    <w:rsid w:val="00185A53"/>
    <w:rsid w:val="001867A7"/>
    <w:rsid w:val="00197604"/>
    <w:rsid w:val="00197B74"/>
    <w:rsid w:val="001A6CF3"/>
    <w:rsid w:val="001B52C2"/>
    <w:rsid w:val="001B6C29"/>
    <w:rsid w:val="001B7DBC"/>
    <w:rsid w:val="001C07A5"/>
    <w:rsid w:val="001C3302"/>
    <w:rsid w:val="001C5544"/>
    <w:rsid w:val="001D3B78"/>
    <w:rsid w:val="001D4AD4"/>
    <w:rsid w:val="001F2529"/>
    <w:rsid w:val="001F2537"/>
    <w:rsid w:val="001F4F9C"/>
    <w:rsid w:val="001F69A1"/>
    <w:rsid w:val="00201623"/>
    <w:rsid w:val="002046B6"/>
    <w:rsid w:val="00207949"/>
    <w:rsid w:val="00211B03"/>
    <w:rsid w:val="0021368E"/>
    <w:rsid w:val="00214B77"/>
    <w:rsid w:val="00222809"/>
    <w:rsid w:val="00227937"/>
    <w:rsid w:val="002318C6"/>
    <w:rsid w:val="00233313"/>
    <w:rsid w:val="002407E4"/>
    <w:rsid w:val="0024780E"/>
    <w:rsid w:val="002557FE"/>
    <w:rsid w:val="00256CAB"/>
    <w:rsid w:val="00264D16"/>
    <w:rsid w:val="00265739"/>
    <w:rsid w:val="00271391"/>
    <w:rsid w:val="0028217E"/>
    <w:rsid w:val="00296EBD"/>
    <w:rsid w:val="002B36CA"/>
    <w:rsid w:val="002B4934"/>
    <w:rsid w:val="002B599F"/>
    <w:rsid w:val="002B6122"/>
    <w:rsid w:val="002C2743"/>
    <w:rsid w:val="002E1978"/>
    <w:rsid w:val="002E1F09"/>
    <w:rsid w:val="002F0486"/>
    <w:rsid w:val="00305881"/>
    <w:rsid w:val="003064CA"/>
    <w:rsid w:val="00315059"/>
    <w:rsid w:val="00321527"/>
    <w:rsid w:val="00333B47"/>
    <w:rsid w:val="0033639B"/>
    <w:rsid w:val="00341BE7"/>
    <w:rsid w:val="00343332"/>
    <w:rsid w:val="00345821"/>
    <w:rsid w:val="00351247"/>
    <w:rsid w:val="00351DE4"/>
    <w:rsid w:val="003520A0"/>
    <w:rsid w:val="0035473E"/>
    <w:rsid w:val="00357129"/>
    <w:rsid w:val="00361C65"/>
    <w:rsid w:val="00364B0D"/>
    <w:rsid w:val="003763EB"/>
    <w:rsid w:val="0038423C"/>
    <w:rsid w:val="003854EB"/>
    <w:rsid w:val="00387564"/>
    <w:rsid w:val="003905F7"/>
    <w:rsid w:val="00392193"/>
    <w:rsid w:val="0039653E"/>
    <w:rsid w:val="003A295A"/>
    <w:rsid w:val="003A37DE"/>
    <w:rsid w:val="003A61A0"/>
    <w:rsid w:val="003B15D7"/>
    <w:rsid w:val="003B498E"/>
    <w:rsid w:val="003D10DD"/>
    <w:rsid w:val="003D23B7"/>
    <w:rsid w:val="003D7A11"/>
    <w:rsid w:val="003F1AE5"/>
    <w:rsid w:val="003F2AA2"/>
    <w:rsid w:val="003F2EAC"/>
    <w:rsid w:val="004006BC"/>
    <w:rsid w:val="0040197F"/>
    <w:rsid w:val="00403676"/>
    <w:rsid w:val="004128EE"/>
    <w:rsid w:val="004161DD"/>
    <w:rsid w:val="004227A3"/>
    <w:rsid w:val="00422892"/>
    <w:rsid w:val="004242CE"/>
    <w:rsid w:val="004361D4"/>
    <w:rsid w:val="00466533"/>
    <w:rsid w:val="004701AC"/>
    <w:rsid w:val="00483BDB"/>
    <w:rsid w:val="004847C7"/>
    <w:rsid w:val="004959AC"/>
    <w:rsid w:val="004A213C"/>
    <w:rsid w:val="004A67D3"/>
    <w:rsid w:val="004B21F8"/>
    <w:rsid w:val="004B75AA"/>
    <w:rsid w:val="004C045B"/>
    <w:rsid w:val="004C084E"/>
    <w:rsid w:val="004C0BC4"/>
    <w:rsid w:val="004C6C06"/>
    <w:rsid w:val="004C7BBF"/>
    <w:rsid w:val="004E234E"/>
    <w:rsid w:val="004E60F1"/>
    <w:rsid w:val="004E689F"/>
    <w:rsid w:val="004F4050"/>
    <w:rsid w:val="0050009C"/>
    <w:rsid w:val="005017C7"/>
    <w:rsid w:val="00504C80"/>
    <w:rsid w:val="00511A8E"/>
    <w:rsid w:val="005218E9"/>
    <w:rsid w:val="00521EDC"/>
    <w:rsid w:val="005252B8"/>
    <w:rsid w:val="005357EF"/>
    <w:rsid w:val="00535F16"/>
    <w:rsid w:val="0054329F"/>
    <w:rsid w:val="00544A7E"/>
    <w:rsid w:val="005559DD"/>
    <w:rsid w:val="00557A84"/>
    <w:rsid w:val="00586324"/>
    <w:rsid w:val="00596D4D"/>
    <w:rsid w:val="005B1C01"/>
    <w:rsid w:val="005B714B"/>
    <w:rsid w:val="005C0150"/>
    <w:rsid w:val="005C4C83"/>
    <w:rsid w:val="005E3AB3"/>
    <w:rsid w:val="005E4A2A"/>
    <w:rsid w:val="005F7B5A"/>
    <w:rsid w:val="006075D3"/>
    <w:rsid w:val="00611B4C"/>
    <w:rsid w:val="00624C1B"/>
    <w:rsid w:val="006412C5"/>
    <w:rsid w:val="00641E42"/>
    <w:rsid w:val="00643830"/>
    <w:rsid w:val="00646E84"/>
    <w:rsid w:val="00650319"/>
    <w:rsid w:val="00652F36"/>
    <w:rsid w:val="00655F12"/>
    <w:rsid w:val="00671862"/>
    <w:rsid w:val="006A60FB"/>
    <w:rsid w:val="006B15D4"/>
    <w:rsid w:val="006B2800"/>
    <w:rsid w:val="006B4D0D"/>
    <w:rsid w:val="006B6101"/>
    <w:rsid w:val="006C1EE4"/>
    <w:rsid w:val="006C3EB1"/>
    <w:rsid w:val="006C4BC2"/>
    <w:rsid w:val="006D1B9A"/>
    <w:rsid w:val="006D1E78"/>
    <w:rsid w:val="006D4214"/>
    <w:rsid w:val="006E4BA4"/>
    <w:rsid w:val="00706D9D"/>
    <w:rsid w:val="00710B1D"/>
    <w:rsid w:val="0072049B"/>
    <w:rsid w:val="00721B55"/>
    <w:rsid w:val="00727D52"/>
    <w:rsid w:val="00731301"/>
    <w:rsid w:val="007424DD"/>
    <w:rsid w:val="0074529B"/>
    <w:rsid w:val="007607AB"/>
    <w:rsid w:val="0076130D"/>
    <w:rsid w:val="007735E6"/>
    <w:rsid w:val="0077794F"/>
    <w:rsid w:val="00791C6E"/>
    <w:rsid w:val="007932E8"/>
    <w:rsid w:val="007B02FE"/>
    <w:rsid w:val="007B111E"/>
    <w:rsid w:val="007B1262"/>
    <w:rsid w:val="007C3C9B"/>
    <w:rsid w:val="007D5F26"/>
    <w:rsid w:val="007E38B9"/>
    <w:rsid w:val="007E466D"/>
    <w:rsid w:val="007E6960"/>
    <w:rsid w:val="007E7699"/>
    <w:rsid w:val="00800E42"/>
    <w:rsid w:val="00806DAA"/>
    <w:rsid w:val="00812A2C"/>
    <w:rsid w:val="008336BA"/>
    <w:rsid w:val="00835DD3"/>
    <w:rsid w:val="00842A85"/>
    <w:rsid w:val="0084482B"/>
    <w:rsid w:val="00853B49"/>
    <w:rsid w:val="00867C02"/>
    <w:rsid w:val="00890040"/>
    <w:rsid w:val="008A4C95"/>
    <w:rsid w:val="008B5B32"/>
    <w:rsid w:val="008C6EDA"/>
    <w:rsid w:val="008D6101"/>
    <w:rsid w:val="009008A1"/>
    <w:rsid w:val="00916A14"/>
    <w:rsid w:val="00934316"/>
    <w:rsid w:val="0094387D"/>
    <w:rsid w:val="009557A9"/>
    <w:rsid w:val="0096138D"/>
    <w:rsid w:val="00996C68"/>
    <w:rsid w:val="009A2489"/>
    <w:rsid w:val="009C6F3A"/>
    <w:rsid w:val="009E0A17"/>
    <w:rsid w:val="009E381A"/>
    <w:rsid w:val="009E5401"/>
    <w:rsid w:val="009E62E0"/>
    <w:rsid w:val="00A008BC"/>
    <w:rsid w:val="00A01FC5"/>
    <w:rsid w:val="00A371D6"/>
    <w:rsid w:val="00A37F36"/>
    <w:rsid w:val="00A42334"/>
    <w:rsid w:val="00A53F3B"/>
    <w:rsid w:val="00A867D5"/>
    <w:rsid w:val="00A92966"/>
    <w:rsid w:val="00A97F88"/>
    <w:rsid w:val="00AA66DF"/>
    <w:rsid w:val="00AA7269"/>
    <w:rsid w:val="00AB1CD8"/>
    <w:rsid w:val="00AC085C"/>
    <w:rsid w:val="00AC3EA4"/>
    <w:rsid w:val="00AC500E"/>
    <w:rsid w:val="00AF4E07"/>
    <w:rsid w:val="00AF4E24"/>
    <w:rsid w:val="00AF5817"/>
    <w:rsid w:val="00B02D46"/>
    <w:rsid w:val="00B13BD3"/>
    <w:rsid w:val="00B37C9A"/>
    <w:rsid w:val="00B61448"/>
    <w:rsid w:val="00B73887"/>
    <w:rsid w:val="00B874DA"/>
    <w:rsid w:val="00B91997"/>
    <w:rsid w:val="00BA60C7"/>
    <w:rsid w:val="00BB224F"/>
    <w:rsid w:val="00BC1B53"/>
    <w:rsid w:val="00BC5FA1"/>
    <w:rsid w:val="00BD4E72"/>
    <w:rsid w:val="00BE2598"/>
    <w:rsid w:val="00BF3A38"/>
    <w:rsid w:val="00BF4DE4"/>
    <w:rsid w:val="00C25C13"/>
    <w:rsid w:val="00C3566B"/>
    <w:rsid w:val="00C4667C"/>
    <w:rsid w:val="00C5017F"/>
    <w:rsid w:val="00C54B5B"/>
    <w:rsid w:val="00CA7998"/>
    <w:rsid w:val="00CB01DD"/>
    <w:rsid w:val="00CC5687"/>
    <w:rsid w:val="00CC5C66"/>
    <w:rsid w:val="00CE66D0"/>
    <w:rsid w:val="00CE70CA"/>
    <w:rsid w:val="00CE7F03"/>
    <w:rsid w:val="00CF4252"/>
    <w:rsid w:val="00CF5407"/>
    <w:rsid w:val="00D05114"/>
    <w:rsid w:val="00D06A26"/>
    <w:rsid w:val="00D078E8"/>
    <w:rsid w:val="00D109F2"/>
    <w:rsid w:val="00D155F3"/>
    <w:rsid w:val="00D22CDD"/>
    <w:rsid w:val="00D35629"/>
    <w:rsid w:val="00D4245D"/>
    <w:rsid w:val="00D44C86"/>
    <w:rsid w:val="00D4653A"/>
    <w:rsid w:val="00D62C2E"/>
    <w:rsid w:val="00D63829"/>
    <w:rsid w:val="00D750EC"/>
    <w:rsid w:val="00D77474"/>
    <w:rsid w:val="00D81B16"/>
    <w:rsid w:val="00D83D31"/>
    <w:rsid w:val="00D9156C"/>
    <w:rsid w:val="00D92AA5"/>
    <w:rsid w:val="00DA2E4C"/>
    <w:rsid w:val="00DA3CA0"/>
    <w:rsid w:val="00DB39DE"/>
    <w:rsid w:val="00DB76F4"/>
    <w:rsid w:val="00DD2131"/>
    <w:rsid w:val="00DD74C1"/>
    <w:rsid w:val="00DD7F86"/>
    <w:rsid w:val="00DE0CEC"/>
    <w:rsid w:val="00DF11FB"/>
    <w:rsid w:val="00DF5022"/>
    <w:rsid w:val="00E16227"/>
    <w:rsid w:val="00E45A08"/>
    <w:rsid w:val="00E46737"/>
    <w:rsid w:val="00E563F6"/>
    <w:rsid w:val="00E56802"/>
    <w:rsid w:val="00E5708B"/>
    <w:rsid w:val="00E6316C"/>
    <w:rsid w:val="00E675A0"/>
    <w:rsid w:val="00E80C2F"/>
    <w:rsid w:val="00E85CD2"/>
    <w:rsid w:val="00E87ED3"/>
    <w:rsid w:val="00E9090B"/>
    <w:rsid w:val="00EA0A55"/>
    <w:rsid w:val="00EA61A8"/>
    <w:rsid w:val="00EB148E"/>
    <w:rsid w:val="00EB2018"/>
    <w:rsid w:val="00EB23FB"/>
    <w:rsid w:val="00EC39F2"/>
    <w:rsid w:val="00ED678F"/>
    <w:rsid w:val="00EE0ABD"/>
    <w:rsid w:val="00EE6CE6"/>
    <w:rsid w:val="00EF043A"/>
    <w:rsid w:val="00F07870"/>
    <w:rsid w:val="00F105AF"/>
    <w:rsid w:val="00F16688"/>
    <w:rsid w:val="00F17CC5"/>
    <w:rsid w:val="00F3608C"/>
    <w:rsid w:val="00F36214"/>
    <w:rsid w:val="00F50312"/>
    <w:rsid w:val="00F5112D"/>
    <w:rsid w:val="00F664E4"/>
    <w:rsid w:val="00F67A85"/>
    <w:rsid w:val="00F81991"/>
    <w:rsid w:val="00F81AF8"/>
    <w:rsid w:val="00FA1AA8"/>
    <w:rsid w:val="00FA2366"/>
    <w:rsid w:val="00FB254E"/>
    <w:rsid w:val="00FB65CC"/>
    <w:rsid w:val="00FB7A31"/>
    <w:rsid w:val="00FC359E"/>
    <w:rsid w:val="00FE06B3"/>
    <w:rsid w:val="00FF69C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E04EEA"/>
  <w15:chartTrackingRefBased/>
  <w15:docId w15:val="{811D7D97-895A-4384-BEBC-74CA4C1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uiPriority w:val="22"/>
    <w:qFormat/>
    <w:rsid w:val="00D078E8"/>
    <w:rPr>
      <w:b/>
      <w:bCs/>
    </w:rPr>
  </w:style>
  <w:style w:type="character" w:styleId="CommentReference">
    <w:name w:val="annotation reference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  <w:style w:type="character" w:customStyle="1" w:styleId="palevel0primary">
    <w:name w:val="palevel0primary"/>
    <w:rsid w:val="00392193"/>
  </w:style>
  <w:style w:type="character" w:styleId="FollowedHyperlink">
    <w:name w:val="FollowedHyperlink"/>
    <w:uiPriority w:val="99"/>
    <w:semiHidden/>
    <w:unhideWhenUsed/>
    <w:rsid w:val="000620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web.ks.gov/training/travel-expenses/t-e---job-ai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09F2-182F-4CBD-A8A1-AC0F5CDB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3638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http://www.smartweb.ks.gov/training/travel-expenses/t-e---job-aids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cp:lastModifiedBy>Shaver, Linda [DASM]</cp:lastModifiedBy>
  <cp:revision>4</cp:revision>
  <cp:lastPrinted>2013-07-19T19:31:00Z</cp:lastPrinted>
  <dcterms:created xsi:type="dcterms:W3CDTF">2019-02-28T18:17:00Z</dcterms:created>
  <dcterms:modified xsi:type="dcterms:W3CDTF">2019-03-18T19:56:00Z</dcterms:modified>
</cp:coreProperties>
</file>