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D87A" w14:textId="6DEE09C1" w:rsidR="00800E42" w:rsidRDefault="006E7F8A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63ABA82" wp14:editId="5852720C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5C">
        <w:rPr>
          <w:rFonts w:ascii="Calibri" w:hAnsi="Calibri"/>
          <w:noProof/>
          <w:sz w:val="32"/>
          <w:szCs w:val="32"/>
        </w:rPr>
        <w:object w:dxaOrig="1440" w:dyaOrig="1440" w14:anchorId="5611D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171458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7DFC8912" w14:textId="609D893F" w:rsidR="00800551" w:rsidRPr="000F03C0" w:rsidRDefault="00131B6F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28"/>
          <w:szCs w:val="28"/>
          <w:lang w:val="en-US"/>
        </w:rPr>
      </w:pPr>
      <w:r>
        <w:rPr>
          <w:rFonts w:ascii="Verdana" w:hAnsi="Verdana" w:cs="Arial"/>
          <w:b/>
          <w:bCs/>
          <w:noProof/>
          <w:sz w:val="28"/>
          <w:szCs w:val="28"/>
          <w:lang w:val="en-US"/>
        </w:rPr>
        <w:t>General Ledger/KK</w:t>
      </w:r>
      <w:r w:rsidR="00520D68"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 Homepage Guide</w:t>
      </w:r>
    </w:p>
    <w:p w14:paraId="5C23860D" w14:textId="77777777"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9DA8D25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DCFD2B3" w14:textId="77777777" w:rsidTr="00161D65">
        <w:tc>
          <w:tcPr>
            <w:tcW w:w="3330" w:type="dxa"/>
          </w:tcPr>
          <w:p w14:paraId="306597EA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4481ACD2" w14:textId="694BC79B" w:rsidR="003738F2" w:rsidRPr="00800551" w:rsidRDefault="00520D68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0F03C0">
              <w:rPr>
                <w:rFonts w:ascii="Verdana" w:hAnsi="Verdana"/>
              </w:rPr>
              <w:t>/</w:t>
            </w:r>
            <w:r w:rsidR="000B19FB">
              <w:rPr>
                <w:rFonts w:ascii="Verdana" w:hAnsi="Verdana"/>
              </w:rPr>
              <w:t>5</w:t>
            </w:r>
            <w:r w:rsidR="000F03C0">
              <w:rPr>
                <w:rFonts w:ascii="Verdana" w:hAnsi="Verdana"/>
              </w:rPr>
              <w:t>/2019</w:t>
            </w:r>
          </w:p>
        </w:tc>
      </w:tr>
      <w:tr w:rsidR="00AF2E3C" w:rsidRPr="00161D65" w14:paraId="1EA8269E" w14:textId="77777777" w:rsidTr="00161D65">
        <w:tc>
          <w:tcPr>
            <w:tcW w:w="3330" w:type="dxa"/>
          </w:tcPr>
          <w:p w14:paraId="68D2F1C5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7F91FD1C" w14:textId="77777777" w:rsidR="00AF2E3C" w:rsidRPr="00800551" w:rsidRDefault="000F03C0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3738F2" w:rsidRPr="00161D65" w14:paraId="31F62CC8" w14:textId="77777777" w:rsidTr="00161D65">
        <w:tc>
          <w:tcPr>
            <w:tcW w:w="3330" w:type="dxa"/>
          </w:tcPr>
          <w:p w14:paraId="33DE3039" w14:textId="77777777"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6DECD6B7" w14:textId="6D615A81" w:rsidR="003738F2" w:rsidRPr="000F03C0" w:rsidRDefault="00B90D45" w:rsidP="00254DE3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3</w:t>
            </w:r>
            <w:r w:rsidR="00520D68">
              <w:rPr>
                <w:rFonts w:ascii="Verdana" w:hAnsi="Verdana"/>
              </w:rPr>
              <w:t>/</w:t>
            </w:r>
            <w:r w:rsidR="000B19FB">
              <w:rPr>
                <w:rFonts w:ascii="Verdana" w:hAnsi="Verdana"/>
              </w:rPr>
              <w:t>5</w:t>
            </w:r>
            <w:r w:rsidR="00746CB1">
              <w:rPr>
                <w:rFonts w:ascii="Verdana" w:hAnsi="Verdana"/>
              </w:rPr>
              <w:t>/2019</w:t>
            </w:r>
          </w:p>
        </w:tc>
      </w:tr>
      <w:tr w:rsidR="000B12F4" w:rsidRPr="00161D65" w14:paraId="433F03A0" w14:textId="77777777" w:rsidTr="00161D65">
        <w:tc>
          <w:tcPr>
            <w:tcW w:w="3330" w:type="dxa"/>
          </w:tcPr>
          <w:p w14:paraId="4C20C9B3" w14:textId="77777777" w:rsidR="000B12F4" w:rsidRPr="00800551" w:rsidRDefault="000F03C0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Background:</w:t>
            </w:r>
          </w:p>
        </w:tc>
        <w:tc>
          <w:tcPr>
            <w:tcW w:w="7128" w:type="dxa"/>
          </w:tcPr>
          <w:p w14:paraId="47CCA5D1" w14:textId="7BCC9ACF" w:rsidR="00520D68" w:rsidRDefault="00520D68" w:rsidP="008F6DF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131B6F">
              <w:rPr>
                <w:rFonts w:ascii="Verdana" w:hAnsi="Verdana"/>
                <w:noProof/>
              </w:rPr>
              <w:t>General Ledger/KK</w:t>
            </w:r>
            <w:r>
              <w:rPr>
                <w:rFonts w:ascii="Verdana" w:hAnsi="Verdana"/>
                <w:noProof/>
              </w:rPr>
              <w:t xml:space="preserve"> Homepage </w:t>
            </w:r>
            <w:r w:rsidR="00E504DE">
              <w:rPr>
                <w:rFonts w:ascii="Verdana" w:hAnsi="Verdana"/>
                <w:noProof/>
              </w:rPr>
              <w:t>contain</w:t>
            </w:r>
            <w:r w:rsidR="00131B6F">
              <w:rPr>
                <w:rFonts w:ascii="Verdana" w:hAnsi="Verdana"/>
                <w:noProof/>
              </w:rPr>
              <w:t>s the General Ledger and Commitment Control modules. Additionally, ChartField Request can be inititated and reviewed on this homepage</w:t>
            </w:r>
            <w:r w:rsidR="00E504DE">
              <w:rPr>
                <w:rFonts w:ascii="Verdana" w:hAnsi="Verdana"/>
                <w:noProof/>
              </w:rPr>
              <w:t>.</w:t>
            </w:r>
          </w:p>
          <w:p w14:paraId="51C9BC06" w14:textId="5FB542B3" w:rsidR="00520D68" w:rsidRPr="00F74609" w:rsidRDefault="00520D68" w:rsidP="008F6DFE">
            <w:pPr>
              <w:rPr>
                <w:rFonts w:ascii="Verdana" w:hAnsi="Verdana"/>
                <w:noProof/>
              </w:rPr>
            </w:pPr>
          </w:p>
        </w:tc>
      </w:tr>
      <w:tr w:rsidR="005D69D6" w:rsidRPr="00161D65" w14:paraId="78D98677" w14:textId="77777777" w:rsidTr="00161D65">
        <w:tc>
          <w:tcPr>
            <w:tcW w:w="3330" w:type="dxa"/>
          </w:tcPr>
          <w:p w14:paraId="66D0DA7F" w14:textId="3AE1BE06" w:rsidR="005D69D6" w:rsidRPr="000A7AED" w:rsidRDefault="00131B6F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 xml:space="preserve">General Ledger/KK </w:t>
            </w:r>
            <w:r w:rsidR="00AE5A21" w:rsidRPr="00A260B4">
              <w:rPr>
                <w:rFonts w:ascii="Verdana" w:hAnsi="Verdana"/>
                <w:b/>
                <w:noProof/>
              </w:rPr>
              <w:t xml:space="preserve"> Homepage:</w:t>
            </w:r>
          </w:p>
        </w:tc>
        <w:tc>
          <w:tcPr>
            <w:tcW w:w="7128" w:type="dxa"/>
          </w:tcPr>
          <w:p w14:paraId="015A874E" w14:textId="4CE3B4D8" w:rsidR="00AE5A21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</w:t>
            </w:r>
            <w:r w:rsidR="00E504DE">
              <w:rPr>
                <w:rFonts w:ascii="Verdana" w:hAnsi="Verdana"/>
                <w:noProof/>
              </w:rPr>
              <w:t xml:space="preserve"> </w:t>
            </w:r>
            <w:r w:rsidR="00131B6F">
              <w:rPr>
                <w:rFonts w:ascii="Verdana" w:hAnsi="Verdana"/>
                <w:noProof/>
              </w:rPr>
              <w:t>General Ledger/KK</w:t>
            </w:r>
            <w:r>
              <w:rPr>
                <w:rFonts w:ascii="Verdana" w:hAnsi="Verdana"/>
                <w:noProof/>
              </w:rPr>
              <w:t xml:space="preserve"> homepage contains the following tiles:</w:t>
            </w:r>
          </w:p>
          <w:p w14:paraId="0717DE72" w14:textId="5E3EB6F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6FED430" w14:textId="2BFE14E1" w:rsidR="00520D68" w:rsidRDefault="00131B6F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General Ledger &amp; KK Messages</w:t>
            </w:r>
          </w:p>
          <w:p w14:paraId="2424C756" w14:textId="77777777" w:rsidR="00131B6F" w:rsidRDefault="00131B6F" w:rsidP="00131B6F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GL WorkCenter</w:t>
            </w:r>
          </w:p>
          <w:p w14:paraId="31FFE59E" w14:textId="77777777" w:rsidR="00131B6F" w:rsidRDefault="00131B6F" w:rsidP="00131B6F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General Ledger</w:t>
            </w:r>
          </w:p>
          <w:p w14:paraId="7D53E875" w14:textId="0207A754" w:rsidR="00520D68" w:rsidRPr="00131B6F" w:rsidRDefault="00131B6F" w:rsidP="004B0AAC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 w:rsidRPr="00131B6F">
              <w:rPr>
                <w:rFonts w:ascii="Verdana" w:hAnsi="Verdana"/>
                <w:b/>
                <w:noProof/>
              </w:rPr>
              <w:t xml:space="preserve">Commitment Control </w:t>
            </w:r>
          </w:p>
          <w:p w14:paraId="377AFFA0" w14:textId="0B390FC3" w:rsidR="00520D68" w:rsidRPr="00520D68" w:rsidRDefault="00131B6F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ChartField Maintenance</w:t>
            </w:r>
          </w:p>
          <w:p w14:paraId="21BCFC39" w14:textId="60461A81" w:rsidR="00520D68" w:rsidRPr="00520D68" w:rsidRDefault="00131B6F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GL &amp; KK Reports</w:t>
            </w:r>
          </w:p>
          <w:p w14:paraId="729AAFF8" w14:textId="5005C48D" w:rsidR="00520D68" w:rsidRPr="00520D68" w:rsidRDefault="00131B6F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GL Utilities</w:t>
            </w:r>
          </w:p>
          <w:p w14:paraId="7CB17E59" w14:textId="33521303" w:rsidR="00520D68" w:rsidRPr="00520D68" w:rsidRDefault="00131B6F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Allocations(ADB)</w:t>
            </w:r>
          </w:p>
          <w:p w14:paraId="6D1E05B3" w14:textId="305BCD57" w:rsidR="00520D68" w:rsidRDefault="00131B6F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Close</w:t>
            </w:r>
          </w:p>
          <w:p w14:paraId="321D8078" w14:textId="30D645B3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73CB028" w14:textId="0E64490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385303CA" w14:textId="0814A2DF" w:rsidR="00520D68" w:rsidRDefault="00CB082A" w:rsidP="00AE5A2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AB8E95B" wp14:editId="42DCFF35">
                  <wp:extent cx="4389120" cy="2292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2D839" w14:textId="334235F7" w:rsidR="005D69D6" w:rsidRDefault="005D69D6" w:rsidP="00AE5A21">
            <w:pPr>
              <w:rPr>
                <w:noProof/>
              </w:rPr>
            </w:pPr>
          </w:p>
          <w:p w14:paraId="786DDCF4" w14:textId="77777777" w:rsidR="00981705" w:rsidRDefault="00981705" w:rsidP="00AE5A21">
            <w:pPr>
              <w:rPr>
                <w:noProof/>
              </w:rPr>
            </w:pPr>
          </w:p>
          <w:p w14:paraId="2E291363" w14:textId="77777777" w:rsidR="00AE5A21" w:rsidRPr="0096757B" w:rsidRDefault="00AE5A21" w:rsidP="00520D68">
            <w:pPr>
              <w:rPr>
                <w:noProof/>
              </w:rPr>
            </w:pPr>
          </w:p>
        </w:tc>
      </w:tr>
    </w:tbl>
    <w:p w14:paraId="1B150854" w14:textId="77777777" w:rsidR="00520D68" w:rsidRDefault="00520D68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520D68" w:rsidRPr="00161D65" w14:paraId="4DC749B2" w14:textId="77777777" w:rsidTr="005A285C"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0E6" w14:textId="64649404" w:rsidR="00520D68" w:rsidRPr="00A260B4" w:rsidRDefault="00076DE4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General Ledger &amp; KK</w:t>
            </w:r>
            <w:r w:rsidR="00520D68">
              <w:rPr>
                <w:rFonts w:ascii="Verdana" w:hAnsi="Verdana"/>
                <w:b/>
                <w:noProof/>
              </w:rPr>
              <w:t xml:space="preserve"> Messages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9F9F" w14:textId="35A0D033" w:rsidR="00520D68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‘</w:t>
            </w:r>
            <w:r w:rsidR="00131B6F">
              <w:rPr>
                <w:rFonts w:ascii="Verdana" w:hAnsi="Verdana"/>
                <w:noProof/>
              </w:rPr>
              <w:t>General Ledger &amp; KK</w:t>
            </w:r>
            <w:r>
              <w:rPr>
                <w:rFonts w:ascii="Verdana" w:hAnsi="Verdana"/>
                <w:noProof/>
              </w:rPr>
              <w:t xml:space="preserve"> Messages’ tile will contain any important messages that need communicated to </w:t>
            </w:r>
            <w:r w:rsidR="00131B6F">
              <w:rPr>
                <w:rFonts w:ascii="Verdana" w:hAnsi="Verdana"/>
                <w:noProof/>
              </w:rPr>
              <w:t>users of the General Ledger/KK</w:t>
            </w:r>
            <w:r>
              <w:rPr>
                <w:rFonts w:ascii="Verdana" w:hAnsi="Verdana"/>
                <w:noProof/>
              </w:rPr>
              <w:t xml:space="preserve"> community. Unless there is a message that users need to see, this tile will remain blank.</w:t>
            </w:r>
          </w:p>
          <w:p w14:paraId="7D202298" w14:textId="3F67D3E6" w:rsidR="00520D68" w:rsidRDefault="00076DE4" w:rsidP="0087713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8F46D" wp14:editId="5E7EF1E1">
                  <wp:extent cx="2914650" cy="1153294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821" cy="117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3BF1A" w14:textId="568666BC" w:rsidR="00520D68" w:rsidRPr="00261D44" w:rsidRDefault="00520D68" w:rsidP="00AE5A21">
            <w:pPr>
              <w:rPr>
                <w:rFonts w:ascii="Verdana" w:hAnsi="Verdana"/>
                <w:noProof/>
              </w:rPr>
            </w:pPr>
          </w:p>
        </w:tc>
      </w:tr>
      <w:tr w:rsidR="00520D68" w:rsidRPr="00161D65" w14:paraId="0F80426C" w14:textId="77777777" w:rsidTr="005A285C"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E8D" w14:textId="6143F344" w:rsidR="00520D68" w:rsidRDefault="00674FA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GL WorkCenter tile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60B0" w14:textId="57C0C5A0" w:rsidR="00520D68" w:rsidRDefault="00136423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is for the GL WorkCenter that was introduced with the original upgrade to Peoplesoft 9.2.  It allows users to perform various task</w:t>
            </w:r>
            <w:r w:rsidR="000573A2">
              <w:rPr>
                <w:rFonts w:ascii="Verdana" w:hAnsi="Verdana"/>
                <w:noProof/>
              </w:rPr>
              <w:t>s</w:t>
            </w:r>
            <w:r>
              <w:rPr>
                <w:rFonts w:ascii="Verdana" w:hAnsi="Verdana"/>
                <w:noProof/>
              </w:rPr>
              <w:t xml:space="preserve"> and access some job aids that relate to GL and KK areas.</w:t>
            </w:r>
          </w:p>
          <w:p w14:paraId="5F8260F3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11DF6E5D" w14:textId="45B26747" w:rsidR="00520D68" w:rsidRDefault="00674FAC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E1177D0" wp14:editId="5AC83019">
                  <wp:extent cx="1963513" cy="1600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224" cy="166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80F78" w14:textId="621B2A97" w:rsidR="00B23587" w:rsidRDefault="00136423" w:rsidP="000573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73DD1AD" wp14:editId="6D67EB9D">
                  <wp:extent cx="2181225" cy="3688576"/>
                  <wp:effectExtent l="19050" t="19050" r="9525" b="266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154" cy="36986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1BEDE" w14:textId="77777777" w:rsidR="00136423" w:rsidRDefault="00136423" w:rsidP="00674FAC">
            <w:pPr>
              <w:jc w:val="center"/>
              <w:rPr>
                <w:noProof/>
              </w:rPr>
            </w:pPr>
          </w:p>
          <w:p w14:paraId="4664CEF5" w14:textId="65080AFF" w:rsidR="00136423" w:rsidRDefault="00136423" w:rsidP="00674FA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9ACB48" wp14:editId="4D75392F">
                  <wp:extent cx="2428571" cy="352381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571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2DB31" w14:textId="21293F0E" w:rsidR="00136423" w:rsidRDefault="00136423" w:rsidP="00674F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12E260" wp14:editId="572827BB">
                  <wp:extent cx="2371429" cy="2371429"/>
                  <wp:effectExtent l="19050" t="19050" r="10160" b="1016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429" cy="23714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26575" w14:textId="77777777" w:rsidR="00136423" w:rsidRDefault="0013642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5CDA3C9E" w14:textId="312FADFC" w:rsidR="00877137" w:rsidRDefault="00877137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3DE5323" wp14:editId="391E20B2">
                  <wp:extent cx="2685714" cy="5819048"/>
                  <wp:effectExtent l="19050" t="19050" r="19685" b="1079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714" cy="5819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21F8C" w14:textId="78CB727B" w:rsidR="00877137" w:rsidRDefault="0087713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FF3C747" w14:textId="4DA35677" w:rsidR="00877137" w:rsidRDefault="00877137" w:rsidP="00674FAC">
            <w:pPr>
              <w:jc w:val="center"/>
              <w:rPr>
                <w:rFonts w:ascii="Verdana" w:hAnsi="Verdana"/>
                <w:noProof/>
              </w:rPr>
            </w:pPr>
            <w:r w:rsidRPr="000573A2">
              <w:rPr>
                <w:noProof/>
                <w:bdr w:val="single" w:sz="4" w:space="0" w:color="auto"/>
              </w:rPr>
              <w:drawing>
                <wp:inline distT="0" distB="0" distL="0" distR="0" wp14:anchorId="14CA64A6" wp14:editId="48B601EE">
                  <wp:extent cx="2724150" cy="8548215"/>
                  <wp:effectExtent l="19050" t="19050" r="19050" b="2476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239" cy="859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8F517" w14:textId="44AA1CE0" w:rsidR="00877137" w:rsidRDefault="0087713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D229DA8" w14:textId="3C338E7A" w:rsidR="00877137" w:rsidRDefault="00877137" w:rsidP="00674FAC">
            <w:pPr>
              <w:jc w:val="center"/>
              <w:rPr>
                <w:rFonts w:ascii="Verdana" w:hAnsi="Verdana"/>
                <w:noProof/>
              </w:rPr>
            </w:pPr>
            <w:r w:rsidRPr="000573A2">
              <w:rPr>
                <w:noProof/>
                <w:bdr w:val="single" w:sz="4" w:space="0" w:color="auto"/>
              </w:rPr>
              <w:drawing>
                <wp:inline distT="0" distB="0" distL="0" distR="0" wp14:anchorId="153E837F" wp14:editId="6230CCF2">
                  <wp:extent cx="3038095" cy="7009524"/>
                  <wp:effectExtent l="19050" t="19050" r="10160" b="203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095" cy="7009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DAF18" w14:textId="771A5B85" w:rsidR="00877137" w:rsidRDefault="0087713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935EF48" w14:textId="7B418C67" w:rsidR="00877137" w:rsidRDefault="00877137" w:rsidP="00674FAC">
            <w:pPr>
              <w:jc w:val="center"/>
              <w:rPr>
                <w:rFonts w:ascii="Verdana" w:hAnsi="Verdana"/>
                <w:noProof/>
              </w:rPr>
            </w:pPr>
            <w:r w:rsidRPr="000573A2">
              <w:rPr>
                <w:noProof/>
                <w:bdr w:val="single" w:sz="4" w:space="0" w:color="auto"/>
              </w:rPr>
              <w:lastRenderedPageBreak/>
              <w:drawing>
                <wp:inline distT="0" distB="0" distL="0" distR="0" wp14:anchorId="1CB43A17" wp14:editId="1E239A46">
                  <wp:extent cx="2571429" cy="4980952"/>
                  <wp:effectExtent l="19050" t="19050" r="19685" b="1016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29" cy="49809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B4B36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7DDF79E0" w14:textId="60227D70" w:rsidR="00520D68" w:rsidRDefault="00520D68" w:rsidP="00520D68">
            <w:pPr>
              <w:rPr>
                <w:rFonts w:ascii="Verdana" w:hAnsi="Verdana"/>
                <w:noProof/>
              </w:rPr>
            </w:pPr>
          </w:p>
          <w:p w14:paraId="26332DC5" w14:textId="146FB09E" w:rsidR="00075D8E" w:rsidRDefault="00075D8E" w:rsidP="00520D68">
            <w:pPr>
              <w:rPr>
                <w:rFonts w:ascii="Verdana" w:hAnsi="Verdana"/>
                <w:noProof/>
              </w:rPr>
            </w:pPr>
          </w:p>
          <w:p w14:paraId="1BD74CE8" w14:textId="77777777" w:rsidR="00075D8E" w:rsidRDefault="00075D8E" w:rsidP="00520D68">
            <w:pPr>
              <w:rPr>
                <w:rFonts w:ascii="Verdana" w:hAnsi="Verdana"/>
                <w:noProof/>
              </w:rPr>
            </w:pPr>
          </w:p>
          <w:p w14:paraId="2038238C" w14:textId="73590825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399A785D" w14:textId="76086A9D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3BEEF947" w14:textId="59DDF687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33477BCD" w14:textId="58652A62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3C17D34F" w14:textId="79125224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4EE6241E" w14:textId="6E04623F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3939F270" w14:textId="7F168DB9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1F47E6A6" w14:textId="24682C46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4B773539" w14:textId="3741A399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6C2E00E4" w14:textId="3BE522A4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606EB223" w14:textId="11B4CA46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5FC0A5F0" w14:textId="77777777" w:rsidR="00877137" w:rsidRDefault="00877137" w:rsidP="00520D68">
            <w:pPr>
              <w:rPr>
                <w:rFonts w:ascii="Verdana" w:hAnsi="Verdana"/>
                <w:noProof/>
              </w:rPr>
            </w:pPr>
          </w:p>
          <w:p w14:paraId="5472BF1E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599456A6" w14:textId="357F652C" w:rsidR="00695B00" w:rsidRDefault="00695B00" w:rsidP="00AE5A21">
            <w:pPr>
              <w:rPr>
                <w:rFonts w:ascii="Verdana" w:hAnsi="Verdana"/>
                <w:noProof/>
              </w:rPr>
            </w:pPr>
          </w:p>
          <w:p w14:paraId="1FC624D8" w14:textId="5B62DFB3" w:rsidR="00695B00" w:rsidRDefault="00695B00" w:rsidP="00AE5A21">
            <w:pPr>
              <w:rPr>
                <w:rFonts w:ascii="Verdana" w:hAnsi="Verdana"/>
                <w:noProof/>
              </w:rPr>
            </w:pPr>
          </w:p>
        </w:tc>
      </w:tr>
      <w:tr w:rsidR="00BC074E" w:rsidRPr="00161D65" w14:paraId="26E8DA78" w14:textId="77777777" w:rsidTr="005A285C"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16B" w14:textId="48C0EF40" w:rsidR="00BC074E" w:rsidRPr="00295099" w:rsidRDefault="00674FA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General</w:t>
            </w:r>
            <w:bookmarkStart w:id="0" w:name="_GoBack"/>
            <w:bookmarkEnd w:id="0"/>
            <w:r>
              <w:rPr>
                <w:rFonts w:ascii="Verdana" w:hAnsi="Verdana"/>
                <w:b/>
                <w:noProof/>
              </w:rPr>
              <w:t xml:space="preserve"> Ledger tile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367FB" w14:textId="7B7441A0" w:rsidR="002375EF" w:rsidRDefault="00295099" w:rsidP="00520D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BF71A1">
              <w:rPr>
                <w:rFonts w:ascii="Verdana" w:hAnsi="Verdana"/>
                <w:noProof/>
              </w:rPr>
              <w:t>allows users to enter, approve</w:t>
            </w:r>
            <w:r w:rsidR="00F573CF">
              <w:rPr>
                <w:rFonts w:ascii="Verdana" w:hAnsi="Verdana"/>
                <w:noProof/>
              </w:rPr>
              <w:t>, process, and inquire on journals and entries into the General Ledger</w:t>
            </w:r>
            <w:r>
              <w:rPr>
                <w:rFonts w:ascii="Verdana" w:hAnsi="Verdana"/>
                <w:noProof/>
              </w:rPr>
              <w:t>.</w:t>
            </w:r>
          </w:p>
          <w:p w14:paraId="70A2DD58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04DBFF73" w14:textId="36193B6C" w:rsidR="00B32370" w:rsidRDefault="00674FAC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64F4E150" wp14:editId="04DCA424">
                  <wp:extent cx="1814966" cy="1438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19" cy="146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97634" w14:textId="630865CE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54368387" w14:textId="77777777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5E359A0F" w14:textId="65FE3B47" w:rsidR="00B32370" w:rsidRDefault="00B32370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38C1253" wp14:editId="3CA40CFB">
                  <wp:extent cx="1732180" cy="5953125"/>
                  <wp:effectExtent l="19050" t="19050" r="2095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43" cy="60705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D112D" w14:textId="33126132" w:rsidR="00295099" w:rsidRPr="00295099" w:rsidRDefault="00295099" w:rsidP="00520D68">
            <w:pPr>
              <w:rPr>
                <w:rFonts w:ascii="Verdana" w:hAnsi="Verdana"/>
                <w:noProof/>
              </w:rPr>
            </w:pPr>
          </w:p>
        </w:tc>
      </w:tr>
    </w:tbl>
    <w:p w14:paraId="330BC6DE" w14:textId="77777777" w:rsidR="003D474E" w:rsidRDefault="003D474E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6C4A40" w:rsidRPr="00161D65" w14:paraId="61FF8F1F" w14:textId="77777777" w:rsidTr="00161D65">
        <w:tc>
          <w:tcPr>
            <w:tcW w:w="3330" w:type="dxa"/>
          </w:tcPr>
          <w:p w14:paraId="4E11EF61" w14:textId="4D8A6DE4" w:rsidR="006C4A40" w:rsidRPr="00A260B4" w:rsidRDefault="00674FA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Commitment Control tile</w:t>
            </w:r>
          </w:p>
        </w:tc>
        <w:tc>
          <w:tcPr>
            <w:tcW w:w="7128" w:type="dxa"/>
          </w:tcPr>
          <w:p w14:paraId="08B850D3" w14:textId="457263CC" w:rsidR="006C4A40" w:rsidRDefault="00E84529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F573CF">
              <w:rPr>
                <w:rFonts w:ascii="Verdana" w:hAnsi="Verdana"/>
                <w:noProof/>
              </w:rPr>
              <w:t>allows users to enter and review budget journals and to review budget activities in Commitment Control</w:t>
            </w:r>
            <w:r>
              <w:rPr>
                <w:rFonts w:ascii="Verdana" w:hAnsi="Verdana"/>
                <w:noProof/>
              </w:rPr>
              <w:t>.</w:t>
            </w:r>
          </w:p>
          <w:p w14:paraId="293E27C0" w14:textId="77777777" w:rsidR="00E84529" w:rsidRDefault="00E84529" w:rsidP="00800551">
            <w:pPr>
              <w:rPr>
                <w:rFonts w:ascii="Verdana" w:hAnsi="Verdana"/>
                <w:noProof/>
              </w:rPr>
            </w:pPr>
          </w:p>
          <w:p w14:paraId="00D07E6F" w14:textId="3E0D0A7E" w:rsidR="00E84529" w:rsidRDefault="00674FAC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09D690F7" wp14:editId="68AA3F06">
                  <wp:extent cx="2085975" cy="1632156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83" cy="164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8608A" w14:textId="7A7C3CA9" w:rsidR="00B32370" w:rsidRDefault="00B32370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B3017E2" w14:textId="47C84678" w:rsidR="00B32370" w:rsidRDefault="00B32370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6944556A" wp14:editId="24F05ECC">
                  <wp:extent cx="1838929" cy="5867400"/>
                  <wp:effectExtent l="19050" t="19050" r="28575" b="190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507" cy="58979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94883" w14:textId="5087B250" w:rsidR="00E84529" w:rsidRPr="00E84529" w:rsidRDefault="00E8452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4CD0FA3E" w14:textId="77777777" w:rsidTr="00161D65">
        <w:tc>
          <w:tcPr>
            <w:tcW w:w="3330" w:type="dxa"/>
          </w:tcPr>
          <w:p w14:paraId="07A0015E" w14:textId="41A545C8" w:rsidR="00E84529" w:rsidRPr="00A260B4" w:rsidRDefault="00674FA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ChartField Maintenance tile</w:t>
            </w:r>
          </w:p>
        </w:tc>
        <w:tc>
          <w:tcPr>
            <w:tcW w:w="7128" w:type="dxa"/>
          </w:tcPr>
          <w:p w14:paraId="59F5180A" w14:textId="3A6E8936" w:rsidR="00E84529" w:rsidRDefault="00467549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F573CF">
              <w:rPr>
                <w:rFonts w:ascii="Verdana" w:hAnsi="Verdana"/>
                <w:noProof/>
              </w:rPr>
              <w:t xml:space="preserve">allows users to review and enter select ChartFields, as well as viewing and updating Trees and Combo </w:t>
            </w:r>
            <w:r w:rsidR="000573A2">
              <w:rPr>
                <w:rFonts w:ascii="Verdana" w:hAnsi="Verdana"/>
                <w:noProof/>
              </w:rPr>
              <w:t>Edit Rules</w:t>
            </w:r>
            <w:r w:rsidR="00F573CF">
              <w:rPr>
                <w:rFonts w:ascii="Verdana" w:hAnsi="Verdana"/>
                <w:noProof/>
              </w:rPr>
              <w:t xml:space="preserve"> with proper security access</w:t>
            </w:r>
            <w:r>
              <w:rPr>
                <w:rFonts w:ascii="Verdana" w:hAnsi="Verdana"/>
                <w:noProof/>
              </w:rPr>
              <w:t>.</w:t>
            </w:r>
          </w:p>
          <w:p w14:paraId="0D14DC3C" w14:textId="77777777" w:rsidR="00467549" w:rsidRDefault="00467549" w:rsidP="00800551">
            <w:pPr>
              <w:rPr>
                <w:rFonts w:ascii="Verdana" w:hAnsi="Verdana"/>
                <w:noProof/>
              </w:rPr>
            </w:pPr>
          </w:p>
          <w:p w14:paraId="7BF9C1DB" w14:textId="547AFA2E" w:rsidR="00467549" w:rsidRDefault="00674FAC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045BD069" wp14:editId="2080EEC8">
                  <wp:extent cx="2057400" cy="162844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986" cy="164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C9580" w14:textId="014DE3BE" w:rsidR="00B32370" w:rsidRDefault="00B32370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426932B" w14:textId="0D5527E8" w:rsidR="00B32370" w:rsidRDefault="00B32370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DEC3A55" wp14:editId="013B8882">
                  <wp:extent cx="2457143" cy="5742857"/>
                  <wp:effectExtent l="19050" t="19050" r="19685" b="1079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143" cy="57428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89A11" w14:textId="77777777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06138E9" w14:textId="7451AA28" w:rsidR="00467549" w:rsidRPr="00467549" w:rsidRDefault="0046754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2598F38F" w14:textId="77777777" w:rsidTr="00161D65">
        <w:tc>
          <w:tcPr>
            <w:tcW w:w="3330" w:type="dxa"/>
          </w:tcPr>
          <w:p w14:paraId="1B7C7D5C" w14:textId="61AAFA0C" w:rsidR="00E84529" w:rsidRPr="00A260B4" w:rsidRDefault="00674FA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GL &amp; KK Reports tile</w:t>
            </w:r>
          </w:p>
        </w:tc>
        <w:tc>
          <w:tcPr>
            <w:tcW w:w="7128" w:type="dxa"/>
          </w:tcPr>
          <w:p w14:paraId="00B22861" w14:textId="0FF6F940" w:rsidR="00467549" w:rsidRDefault="00467549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F573CF">
              <w:rPr>
                <w:rFonts w:ascii="Verdana" w:hAnsi="Verdana"/>
                <w:noProof/>
              </w:rPr>
              <w:t>allows users to run various General Ledger and Commitment Control Reports and access the Process Monitor, Report Manger, Queries, nVision Reports</w:t>
            </w:r>
            <w:r w:rsidR="000573A2">
              <w:rPr>
                <w:rFonts w:ascii="Verdana" w:hAnsi="Verdana"/>
                <w:noProof/>
              </w:rPr>
              <w:t xml:space="preserve"> and</w:t>
            </w:r>
            <w:r w:rsidR="00F573CF">
              <w:rPr>
                <w:rFonts w:ascii="Verdana" w:hAnsi="Verdana"/>
                <w:noProof/>
              </w:rPr>
              <w:t xml:space="preserve"> BI Analytics.</w:t>
            </w:r>
          </w:p>
          <w:p w14:paraId="6AF3EB6D" w14:textId="6F576809" w:rsidR="00467549" w:rsidRDefault="00674FAC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EF5BB22" wp14:editId="1C3798A2">
                  <wp:extent cx="1673286" cy="1333500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05" cy="135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F0753" w14:textId="7DD88E6F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7DD2245" wp14:editId="20F77BE0">
                  <wp:extent cx="1215484" cy="6296025"/>
                  <wp:effectExtent l="19050" t="19050" r="2286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05" cy="64955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1FC4E" w14:textId="4DC3C89C" w:rsidR="00467549" w:rsidRPr="00295099" w:rsidRDefault="00467549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69D07A31" w14:textId="77777777" w:rsidR="003D474E" w:rsidRDefault="003D474E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E84529" w:rsidRPr="00161D65" w14:paraId="5DAE33C7" w14:textId="77777777" w:rsidTr="00161D65">
        <w:tc>
          <w:tcPr>
            <w:tcW w:w="3330" w:type="dxa"/>
          </w:tcPr>
          <w:p w14:paraId="1ADC14E1" w14:textId="71A17CE6" w:rsidR="00E84529" w:rsidRPr="00A260B4" w:rsidRDefault="00674FA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GL Utilities</w:t>
            </w:r>
          </w:p>
        </w:tc>
        <w:tc>
          <w:tcPr>
            <w:tcW w:w="7128" w:type="dxa"/>
          </w:tcPr>
          <w:p w14:paraId="3F549B06" w14:textId="10C4D17D" w:rsidR="00E84529" w:rsidRDefault="00074AC1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F573CF">
              <w:rPr>
                <w:rFonts w:ascii="Verdana" w:hAnsi="Verdana"/>
                <w:noProof/>
              </w:rPr>
              <w:t>allows users to acccess the Process Monitor, Queries, Report Manager, Worklist, nVision and BI Analytics.</w:t>
            </w:r>
          </w:p>
          <w:p w14:paraId="4DF049EB" w14:textId="0B36644E" w:rsidR="00074AC1" w:rsidRDefault="00074AC1" w:rsidP="00800551">
            <w:pPr>
              <w:rPr>
                <w:rFonts w:ascii="Verdana" w:hAnsi="Verdana"/>
                <w:noProof/>
              </w:rPr>
            </w:pPr>
          </w:p>
          <w:p w14:paraId="40B2B6D7" w14:textId="77777777" w:rsidR="00B23587" w:rsidRDefault="00B23587" w:rsidP="00800551">
            <w:pPr>
              <w:rPr>
                <w:rFonts w:ascii="Verdana" w:hAnsi="Verdana"/>
                <w:noProof/>
              </w:rPr>
            </w:pPr>
          </w:p>
          <w:p w14:paraId="2F7F462F" w14:textId="3F40F9C0" w:rsidR="00074AC1" w:rsidRDefault="00674FAC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5842603" wp14:editId="0B9E66D3">
                  <wp:extent cx="1781175" cy="1423565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853" cy="14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9BA8C" w14:textId="77777777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E9C29E9" w14:textId="02148D0A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9737B2B" w14:textId="231D19EB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53EA94C" wp14:editId="38188E03">
                  <wp:extent cx="2438095" cy="3885714"/>
                  <wp:effectExtent l="19050" t="19050" r="19685" b="196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95" cy="3885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80E9C" w14:textId="31A2398D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786A978" w14:textId="442032DD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24C330F" w14:textId="77777777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B246D84" w14:textId="56DB5F3A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8E12536" w14:textId="305D6D19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B2F21D1" w14:textId="2A30F837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3AF0CAE" w14:textId="77777777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6E1CB4C" w14:textId="2BC28A4A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1400E00" w14:textId="77777777" w:rsidR="000573A2" w:rsidRDefault="000573A2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819B7D6" w14:textId="1650A965" w:rsidR="00074AC1" w:rsidRPr="00295099" w:rsidRDefault="00074AC1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68DD9045" w14:textId="77777777" w:rsidTr="00161D65">
        <w:tc>
          <w:tcPr>
            <w:tcW w:w="3330" w:type="dxa"/>
          </w:tcPr>
          <w:p w14:paraId="376C3B1C" w14:textId="1A473ADA" w:rsidR="00E84529" w:rsidRPr="00A260B4" w:rsidRDefault="00674FA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Allocations (ADB)</w:t>
            </w:r>
          </w:p>
        </w:tc>
        <w:tc>
          <w:tcPr>
            <w:tcW w:w="7128" w:type="dxa"/>
          </w:tcPr>
          <w:p w14:paraId="499843D9" w14:textId="0E2927C7" w:rsidR="00E84529" w:rsidRDefault="00C3618C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F573CF">
              <w:rPr>
                <w:rFonts w:ascii="Verdana" w:hAnsi="Verdana"/>
                <w:noProof/>
              </w:rPr>
              <w:t>allows users to run the allocation process and upload and review related journals.</w:t>
            </w:r>
          </w:p>
          <w:p w14:paraId="656B5B39" w14:textId="77777777" w:rsidR="00C3618C" w:rsidRDefault="00C3618C" w:rsidP="00800551">
            <w:pPr>
              <w:rPr>
                <w:rFonts w:ascii="Verdana" w:hAnsi="Verdana"/>
                <w:noProof/>
              </w:rPr>
            </w:pPr>
          </w:p>
          <w:p w14:paraId="6B4EE474" w14:textId="69A55597" w:rsidR="00C3618C" w:rsidRDefault="00674FAC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B4F9F8C" wp14:editId="18A8A557">
                  <wp:extent cx="2495238" cy="1961905"/>
                  <wp:effectExtent l="0" t="0" r="63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238" cy="1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17001" w14:textId="77777777" w:rsidR="000573A2" w:rsidRDefault="000573A2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768AC938" w14:textId="4D99AA10" w:rsidR="00FE0DF9" w:rsidRDefault="00FE0DF9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B1DFCDC" w14:textId="604F9A11" w:rsidR="00FE0DF9" w:rsidRDefault="00FE0DF9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328096AF" wp14:editId="05764121">
                  <wp:extent cx="2609524" cy="3952381"/>
                  <wp:effectExtent l="19050" t="19050" r="19685" b="1016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524" cy="39523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67349" w14:textId="0611B40E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70352C37" w14:textId="42EE1D7C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3EE0047" w14:textId="1C8D82A8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7BDA18DB" w14:textId="78F881BE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70963D59" w14:textId="4EBC6BC1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D7E9EA9" w14:textId="6D99812C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4FD75A3" w14:textId="7A96C368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678A74D" w14:textId="1DB71B41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49D3DC5" w14:textId="77777777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E247D09" w14:textId="62978ED1" w:rsidR="00C3618C" w:rsidRPr="00295099" w:rsidRDefault="00C3618C" w:rsidP="00800551">
            <w:pPr>
              <w:rPr>
                <w:rFonts w:ascii="Verdana" w:hAnsi="Verdana"/>
                <w:noProof/>
              </w:rPr>
            </w:pPr>
          </w:p>
        </w:tc>
      </w:tr>
      <w:tr w:rsidR="00674FAC" w:rsidRPr="00161D65" w14:paraId="5341FA1B" w14:textId="77777777" w:rsidTr="00161D65">
        <w:tc>
          <w:tcPr>
            <w:tcW w:w="3330" w:type="dxa"/>
          </w:tcPr>
          <w:p w14:paraId="3292FB59" w14:textId="4590E104" w:rsidR="00674FAC" w:rsidRDefault="00674FAC" w:rsidP="00674FA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Close</w:t>
            </w:r>
          </w:p>
        </w:tc>
        <w:tc>
          <w:tcPr>
            <w:tcW w:w="7128" w:type="dxa"/>
          </w:tcPr>
          <w:p w14:paraId="1E23115E" w14:textId="055C4576" w:rsidR="00674FAC" w:rsidRDefault="00674FAC" w:rsidP="00674FAC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F573CF">
              <w:rPr>
                <w:rFonts w:ascii="Verdana" w:hAnsi="Verdana"/>
                <w:noProof/>
              </w:rPr>
              <w:t xml:space="preserve">is primarily for Central Staff and allows for </w:t>
            </w:r>
            <w:r w:rsidR="00847563">
              <w:rPr>
                <w:rFonts w:ascii="Verdana" w:hAnsi="Verdana"/>
                <w:noProof/>
              </w:rPr>
              <w:t xml:space="preserve">the initiation of </w:t>
            </w:r>
            <w:r w:rsidR="00F573CF">
              <w:rPr>
                <w:rFonts w:ascii="Verdana" w:hAnsi="Verdana"/>
                <w:noProof/>
              </w:rPr>
              <w:t>various System Configuration and Closing Processes</w:t>
            </w:r>
            <w:r>
              <w:rPr>
                <w:rFonts w:ascii="Verdana" w:hAnsi="Verdana"/>
                <w:noProof/>
              </w:rPr>
              <w:t>.</w:t>
            </w:r>
          </w:p>
          <w:p w14:paraId="425E02EA" w14:textId="77777777" w:rsidR="00674FAC" w:rsidRDefault="00674FAC" w:rsidP="00674FAC">
            <w:pPr>
              <w:rPr>
                <w:rFonts w:ascii="Verdana" w:hAnsi="Verdana"/>
                <w:noProof/>
              </w:rPr>
            </w:pPr>
          </w:p>
          <w:p w14:paraId="2BA29497" w14:textId="6F70FB2C" w:rsidR="00674FAC" w:rsidRDefault="00674FAC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64836157" wp14:editId="1F3A20F9">
                  <wp:extent cx="2476190" cy="1980952"/>
                  <wp:effectExtent l="0" t="0" r="63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0" cy="1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0C696" w14:textId="002287CF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7C0D236" w14:textId="1CC0CE35" w:rsidR="00B23587" w:rsidRDefault="00847563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BB38F56" wp14:editId="18382DFC">
                  <wp:extent cx="1904796" cy="5638800"/>
                  <wp:effectExtent l="19050" t="19050" r="19685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73" cy="56712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35240" w14:textId="33F0446A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37D6CC1" w14:textId="5B3F6E1A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6FB151" wp14:editId="0EC09C4C">
                  <wp:extent cx="2044241" cy="8229600"/>
                  <wp:effectExtent l="19050" t="19050" r="13335" b="190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83" cy="83340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15761" w14:textId="77777777" w:rsidR="00674FAC" w:rsidRDefault="00674FAC" w:rsidP="00674FAC">
            <w:pPr>
              <w:rPr>
                <w:rFonts w:ascii="Verdana" w:hAnsi="Verdana"/>
                <w:noProof/>
              </w:rPr>
            </w:pPr>
          </w:p>
        </w:tc>
      </w:tr>
    </w:tbl>
    <w:p w14:paraId="18AD2A41" w14:textId="5EBF85C4" w:rsidR="00D35629" w:rsidRDefault="00D35629" w:rsidP="003D474E">
      <w:pPr>
        <w:rPr>
          <w:rFonts w:ascii="Calibri" w:hAnsi="Calibri"/>
        </w:rPr>
      </w:pPr>
    </w:p>
    <w:sectPr w:rsidR="00D35629" w:rsidSect="00800E42">
      <w:footerReference w:type="default" r:id="rId3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24DE" w14:textId="77777777" w:rsidR="00CC6B74" w:rsidRDefault="00CC6B74" w:rsidP="00996C68">
      <w:r>
        <w:separator/>
      </w:r>
    </w:p>
  </w:endnote>
  <w:endnote w:type="continuationSeparator" w:id="0">
    <w:p w14:paraId="31FBAA9D" w14:textId="77777777" w:rsidR="00CC6B74" w:rsidRDefault="00CC6B74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194B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05AE0F77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B0BD" w14:textId="77777777" w:rsidR="00CC6B74" w:rsidRDefault="00CC6B74" w:rsidP="00996C68">
      <w:r>
        <w:separator/>
      </w:r>
    </w:p>
  </w:footnote>
  <w:footnote w:type="continuationSeparator" w:id="0">
    <w:p w14:paraId="714243F7" w14:textId="77777777" w:rsidR="00CC6B74" w:rsidRDefault="00CC6B74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715"/>
    <w:multiLevelType w:val="hybridMultilevel"/>
    <w:tmpl w:val="EBA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15E9"/>
    <w:rsid w:val="0001126C"/>
    <w:rsid w:val="000202B3"/>
    <w:rsid w:val="00031167"/>
    <w:rsid w:val="00037422"/>
    <w:rsid w:val="00046D31"/>
    <w:rsid w:val="000573A2"/>
    <w:rsid w:val="00065551"/>
    <w:rsid w:val="00067600"/>
    <w:rsid w:val="00071FEF"/>
    <w:rsid w:val="00074AC1"/>
    <w:rsid w:val="00075D8E"/>
    <w:rsid w:val="00076DE4"/>
    <w:rsid w:val="00097987"/>
    <w:rsid w:val="000A40AE"/>
    <w:rsid w:val="000A4D3B"/>
    <w:rsid w:val="000A7AED"/>
    <w:rsid w:val="000B12F4"/>
    <w:rsid w:val="000B19FB"/>
    <w:rsid w:val="000B6616"/>
    <w:rsid w:val="000B70C4"/>
    <w:rsid w:val="000D205E"/>
    <w:rsid w:val="000E69AC"/>
    <w:rsid w:val="000E7D16"/>
    <w:rsid w:val="000F03C0"/>
    <w:rsid w:val="000F293F"/>
    <w:rsid w:val="000F3F4C"/>
    <w:rsid w:val="000F77D1"/>
    <w:rsid w:val="00111160"/>
    <w:rsid w:val="001251AD"/>
    <w:rsid w:val="00131B6F"/>
    <w:rsid w:val="001320A7"/>
    <w:rsid w:val="00136423"/>
    <w:rsid w:val="00144BF1"/>
    <w:rsid w:val="00145465"/>
    <w:rsid w:val="00150304"/>
    <w:rsid w:val="00157F39"/>
    <w:rsid w:val="00161D65"/>
    <w:rsid w:val="00177E60"/>
    <w:rsid w:val="0018004C"/>
    <w:rsid w:val="00197B74"/>
    <w:rsid w:val="001A135E"/>
    <w:rsid w:val="001A6CF3"/>
    <w:rsid w:val="001B52C2"/>
    <w:rsid w:val="001C4A0F"/>
    <w:rsid w:val="001D4AD4"/>
    <w:rsid w:val="001E1893"/>
    <w:rsid w:val="001E6AFC"/>
    <w:rsid w:val="001F055C"/>
    <w:rsid w:val="001F69A1"/>
    <w:rsid w:val="00222809"/>
    <w:rsid w:val="002259E7"/>
    <w:rsid w:val="00233313"/>
    <w:rsid w:val="002375EF"/>
    <w:rsid w:val="002407E4"/>
    <w:rsid w:val="00246CBA"/>
    <w:rsid w:val="00247619"/>
    <w:rsid w:val="0024780E"/>
    <w:rsid w:val="00254DE3"/>
    <w:rsid w:val="0025693C"/>
    <w:rsid w:val="00261D44"/>
    <w:rsid w:val="00263863"/>
    <w:rsid w:val="00265739"/>
    <w:rsid w:val="00271391"/>
    <w:rsid w:val="00290E9D"/>
    <w:rsid w:val="00295099"/>
    <w:rsid w:val="002D3E2F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091C"/>
    <w:rsid w:val="003A37DE"/>
    <w:rsid w:val="003B15D7"/>
    <w:rsid w:val="003B39E1"/>
    <w:rsid w:val="003C53AA"/>
    <w:rsid w:val="003D474E"/>
    <w:rsid w:val="003E2E95"/>
    <w:rsid w:val="003F2AA2"/>
    <w:rsid w:val="0040197F"/>
    <w:rsid w:val="004066B9"/>
    <w:rsid w:val="004128EE"/>
    <w:rsid w:val="004443B6"/>
    <w:rsid w:val="004649F4"/>
    <w:rsid w:val="00466533"/>
    <w:rsid w:val="00467549"/>
    <w:rsid w:val="00477197"/>
    <w:rsid w:val="00477683"/>
    <w:rsid w:val="00477DAF"/>
    <w:rsid w:val="004847C7"/>
    <w:rsid w:val="0049585B"/>
    <w:rsid w:val="004A0B6D"/>
    <w:rsid w:val="004A43A5"/>
    <w:rsid w:val="004C084E"/>
    <w:rsid w:val="004C0BC4"/>
    <w:rsid w:val="004C7AB2"/>
    <w:rsid w:val="004C7C82"/>
    <w:rsid w:val="004E2570"/>
    <w:rsid w:val="004E60F1"/>
    <w:rsid w:val="004F47B6"/>
    <w:rsid w:val="00520D68"/>
    <w:rsid w:val="00535F16"/>
    <w:rsid w:val="005544A6"/>
    <w:rsid w:val="005559DD"/>
    <w:rsid w:val="005618A9"/>
    <w:rsid w:val="00561B13"/>
    <w:rsid w:val="00570411"/>
    <w:rsid w:val="00584192"/>
    <w:rsid w:val="00590691"/>
    <w:rsid w:val="00595AC9"/>
    <w:rsid w:val="005A285C"/>
    <w:rsid w:val="005A4BB8"/>
    <w:rsid w:val="005A65E5"/>
    <w:rsid w:val="005B6186"/>
    <w:rsid w:val="005B714B"/>
    <w:rsid w:val="005C4C83"/>
    <w:rsid w:val="005C6EBC"/>
    <w:rsid w:val="005D168D"/>
    <w:rsid w:val="005D69D6"/>
    <w:rsid w:val="005E2CAF"/>
    <w:rsid w:val="005E3AB3"/>
    <w:rsid w:val="005F7B5A"/>
    <w:rsid w:val="00603B66"/>
    <w:rsid w:val="00606BC0"/>
    <w:rsid w:val="006075D3"/>
    <w:rsid w:val="006105D7"/>
    <w:rsid w:val="00611B4C"/>
    <w:rsid w:val="00624C1B"/>
    <w:rsid w:val="00652B29"/>
    <w:rsid w:val="00652D2D"/>
    <w:rsid w:val="00652F36"/>
    <w:rsid w:val="006574EC"/>
    <w:rsid w:val="00671862"/>
    <w:rsid w:val="00674FAC"/>
    <w:rsid w:val="006845C8"/>
    <w:rsid w:val="00695B00"/>
    <w:rsid w:val="006A60FB"/>
    <w:rsid w:val="006B429C"/>
    <w:rsid w:val="006C4A40"/>
    <w:rsid w:val="006C4BC2"/>
    <w:rsid w:val="006C6CD8"/>
    <w:rsid w:val="006D1E78"/>
    <w:rsid w:val="006E7F8A"/>
    <w:rsid w:val="006F03AB"/>
    <w:rsid w:val="00706D9D"/>
    <w:rsid w:val="007100D6"/>
    <w:rsid w:val="00717A7B"/>
    <w:rsid w:val="0072049B"/>
    <w:rsid w:val="00731301"/>
    <w:rsid w:val="0073555F"/>
    <w:rsid w:val="007424DD"/>
    <w:rsid w:val="00746CB1"/>
    <w:rsid w:val="0075404C"/>
    <w:rsid w:val="007607AB"/>
    <w:rsid w:val="00774744"/>
    <w:rsid w:val="00780F3B"/>
    <w:rsid w:val="0079661C"/>
    <w:rsid w:val="00796837"/>
    <w:rsid w:val="007A7FF1"/>
    <w:rsid w:val="007B111E"/>
    <w:rsid w:val="007E38B9"/>
    <w:rsid w:val="007E3F0A"/>
    <w:rsid w:val="007E6960"/>
    <w:rsid w:val="007F3D2C"/>
    <w:rsid w:val="00800551"/>
    <w:rsid w:val="00800E42"/>
    <w:rsid w:val="0080359A"/>
    <w:rsid w:val="00806A57"/>
    <w:rsid w:val="00812A2C"/>
    <w:rsid w:val="008134C3"/>
    <w:rsid w:val="00820DC6"/>
    <w:rsid w:val="00835DD3"/>
    <w:rsid w:val="0084482B"/>
    <w:rsid w:val="0084557B"/>
    <w:rsid w:val="00847563"/>
    <w:rsid w:val="00850F44"/>
    <w:rsid w:val="00853B49"/>
    <w:rsid w:val="00857426"/>
    <w:rsid w:val="00877137"/>
    <w:rsid w:val="00881603"/>
    <w:rsid w:val="00882C15"/>
    <w:rsid w:val="00890040"/>
    <w:rsid w:val="008934AD"/>
    <w:rsid w:val="008B1B22"/>
    <w:rsid w:val="008B5B32"/>
    <w:rsid w:val="008C6EDA"/>
    <w:rsid w:val="008D00E5"/>
    <w:rsid w:val="008D104C"/>
    <w:rsid w:val="008D5BE0"/>
    <w:rsid w:val="008E0A40"/>
    <w:rsid w:val="008E5F3A"/>
    <w:rsid w:val="008F6DFE"/>
    <w:rsid w:val="00906AD1"/>
    <w:rsid w:val="00916A14"/>
    <w:rsid w:val="00927FE7"/>
    <w:rsid w:val="00934316"/>
    <w:rsid w:val="009361EA"/>
    <w:rsid w:val="0094387D"/>
    <w:rsid w:val="00945EAE"/>
    <w:rsid w:val="0096138D"/>
    <w:rsid w:val="009773A3"/>
    <w:rsid w:val="00981705"/>
    <w:rsid w:val="009878D8"/>
    <w:rsid w:val="00996C68"/>
    <w:rsid w:val="009A5953"/>
    <w:rsid w:val="009B690D"/>
    <w:rsid w:val="009C6636"/>
    <w:rsid w:val="009D3731"/>
    <w:rsid w:val="009E2F66"/>
    <w:rsid w:val="009E381A"/>
    <w:rsid w:val="009F2271"/>
    <w:rsid w:val="00A008BC"/>
    <w:rsid w:val="00A05D98"/>
    <w:rsid w:val="00A260B4"/>
    <w:rsid w:val="00A34FA5"/>
    <w:rsid w:val="00A371E5"/>
    <w:rsid w:val="00A377F9"/>
    <w:rsid w:val="00A46CF2"/>
    <w:rsid w:val="00A6133B"/>
    <w:rsid w:val="00A67205"/>
    <w:rsid w:val="00A82267"/>
    <w:rsid w:val="00AC22BC"/>
    <w:rsid w:val="00AC3EA4"/>
    <w:rsid w:val="00AD7F09"/>
    <w:rsid w:val="00AE5A21"/>
    <w:rsid w:val="00AF2E3C"/>
    <w:rsid w:val="00B025FF"/>
    <w:rsid w:val="00B02D46"/>
    <w:rsid w:val="00B06754"/>
    <w:rsid w:val="00B23587"/>
    <w:rsid w:val="00B32370"/>
    <w:rsid w:val="00B36112"/>
    <w:rsid w:val="00B37C9A"/>
    <w:rsid w:val="00B419B2"/>
    <w:rsid w:val="00B434FD"/>
    <w:rsid w:val="00B55A0E"/>
    <w:rsid w:val="00B6302A"/>
    <w:rsid w:val="00B75097"/>
    <w:rsid w:val="00B90D45"/>
    <w:rsid w:val="00B91997"/>
    <w:rsid w:val="00BA7EA5"/>
    <w:rsid w:val="00BB4D40"/>
    <w:rsid w:val="00BC074E"/>
    <w:rsid w:val="00BC1B53"/>
    <w:rsid w:val="00BD5937"/>
    <w:rsid w:val="00BE2598"/>
    <w:rsid w:val="00BE3B09"/>
    <w:rsid w:val="00BF71A1"/>
    <w:rsid w:val="00C040EC"/>
    <w:rsid w:val="00C06422"/>
    <w:rsid w:val="00C14960"/>
    <w:rsid w:val="00C151E2"/>
    <w:rsid w:val="00C268F6"/>
    <w:rsid w:val="00C32C9C"/>
    <w:rsid w:val="00C35B03"/>
    <w:rsid w:val="00C3618C"/>
    <w:rsid w:val="00C43B75"/>
    <w:rsid w:val="00C74345"/>
    <w:rsid w:val="00C74748"/>
    <w:rsid w:val="00C74D13"/>
    <w:rsid w:val="00C77DAD"/>
    <w:rsid w:val="00C81D1B"/>
    <w:rsid w:val="00C902E5"/>
    <w:rsid w:val="00CA22C5"/>
    <w:rsid w:val="00CA3CE1"/>
    <w:rsid w:val="00CB082A"/>
    <w:rsid w:val="00CB14AC"/>
    <w:rsid w:val="00CC3C74"/>
    <w:rsid w:val="00CC5C66"/>
    <w:rsid w:val="00CC6B74"/>
    <w:rsid w:val="00CD0715"/>
    <w:rsid w:val="00CE66D0"/>
    <w:rsid w:val="00CE7F03"/>
    <w:rsid w:val="00CF4252"/>
    <w:rsid w:val="00D05114"/>
    <w:rsid w:val="00D109F2"/>
    <w:rsid w:val="00D22CDD"/>
    <w:rsid w:val="00D22CED"/>
    <w:rsid w:val="00D22F3D"/>
    <w:rsid w:val="00D276CD"/>
    <w:rsid w:val="00D35629"/>
    <w:rsid w:val="00D43744"/>
    <w:rsid w:val="00D44C86"/>
    <w:rsid w:val="00D72EF5"/>
    <w:rsid w:val="00D735DD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E642B"/>
    <w:rsid w:val="00DF5022"/>
    <w:rsid w:val="00DF5A72"/>
    <w:rsid w:val="00E0579F"/>
    <w:rsid w:val="00E16F31"/>
    <w:rsid w:val="00E46737"/>
    <w:rsid w:val="00E504DE"/>
    <w:rsid w:val="00E52AE8"/>
    <w:rsid w:val="00E75341"/>
    <w:rsid w:val="00E84529"/>
    <w:rsid w:val="00E9354B"/>
    <w:rsid w:val="00EA49CE"/>
    <w:rsid w:val="00EA508A"/>
    <w:rsid w:val="00EB148E"/>
    <w:rsid w:val="00ED4497"/>
    <w:rsid w:val="00EE1A38"/>
    <w:rsid w:val="00F055C1"/>
    <w:rsid w:val="00F16688"/>
    <w:rsid w:val="00F23EC9"/>
    <w:rsid w:val="00F30289"/>
    <w:rsid w:val="00F3608C"/>
    <w:rsid w:val="00F366FE"/>
    <w:rsid w:val="00F41B95"/>
    <w:rsid w:val="00F50C6F"/>
    <w:rsid w:val="00F5112D"/>
    <w:rsid w:val="00F573CF"/>
    <w:rsid w:val="00F62BAC"/>
    <w:rsid w:val="00F664E4"/>
    <w:rsid w:val="00F67A85"/>
    <w:rsid w:val="00F74609"/>
    <w:rsid w:val="00F74D94"/>
    <w:rsid w:val="00F81AF8"/>
    <w:rsid w:val="00FA3F8D"/>
    <w:rsid w:val="00FA5602"/>
    <w:rsid w:val="00FB342C"/>
    <w:rsid w:val="00FB65CC"/>
    <w:rsid w:val="00FB7A31"/>
    <w:rsid w:val="00FD7A18"/>
    <w:rsid w:val="00FE0DF9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88A007"/>
  <w15:docId w15:val="{309C6E07-78BD-452A-9C6D-0A62A9C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4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C4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Tongier, Sarah [DASM]</cp:lastModifiedBy>
  <cp:revision>4</cp:revision>
  <cp:lastPrinted>2019-03-01T19:56:00Z</cp:lastPrinted>
  <dcterms:created xsi:type="dcterms:W3CDTF">2019-03-07T16:09:00Z</dcterms:created>
  <dcterms:modified xsi:type="dcterms:W3CDTF">2019-03-15T21:11:00Z</dcterms:modified>
</cp:coreProperties>
</file>