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D87A" w14:textId="6DEE09C1" w:rsidR="00800E42" w:rsidRDefault="006E7F8A" w:rsidP="000B12F4">
      <w:pPr>
        <w:pStyle w:val="Header"/>
        <w:spacing w:before="120"/>
        <w:jc w:val="center"/>
        <w:rPr>
          <w:rFonts w:ascii="Calibri" w:hAnsi="Calibri" w:cs="Arial"/>
          <w:b/>
          <w:bCs/>
          <w:noProof/>
          <w:sz w:val="32"/>
          <w:szCs w:val="32"/>
          <w:lang w:val="en-US"/>
        </w:rPr>
      </w:pPr>
      <w:r>
        <w:rPr>
          <w:rFonts w:cs="Arial"/>
          <w:b/>
          <w:bCs/>
          <w:noProof/>
          <w:sz w:val="32"/>
          <w:szCs w:val="32"/>
        </w:rPr>
        <w:drawing>
          <wp:anchor distT="0" distB="0" distL="114300" distR="114300" simplePos="0" relativeHeight="251657216" behindDoc="0" locked="0" layoutInCell="1" allowOverlap="1" wp14:anchorId="463ABA82" wp14:editId="5852720C">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E7D9E">
        <w:rPr>
          <w:rFonts w:ascii="Calibri" w:hAnsi="Calibri"/>
          <w:noProof/>
          <w:sz w:val="32"/>
          <w:szCs w:val="32"/>
        </w:rPr>
        <w:object w:dxaOrig="1440" w:dyaOrig="1440" w14:anchorId="5611D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3888612" r:id="rId9"/>
        </w:object>
      </w:r>
      <w:r w:rsidR="00800E42" w:rsidRPr="00996C68">
        <w:rPr>
          <w:rFonts w:ascii="Calibri" w:hAnsi="Calibri" w:cs="Arial"/>
          <w:b/>
          <w:bCs/>
          <w:noProof/>
          <w:sz w:val="32"/>
          <w:szCs w:val="32"/>
        </w:rPr>
        <w:t>State of Kansas</w:t>
      </w:r>
    </w:p>
    <w:p w14:paraId="7DFC8912" w14:textId="09B9F461" w:rsidR="00800551" w:rsidRPr="000F03C0" w:rsidRDefault="002B1D86" w:rsidP="000B12F4">
      <w:pPr>
        <w:pStyle w:val="Header"/>
        <w:spacing w:before="120"/>
        <w:jc w:val="center"/>
        <w:rPr>
          <w:rFonts w:ascii="Verdana" w:hAnsi="Verdana" w:cs="Arial"/>
          <w:b/>
          <w:bCs/>
          <w:noProof/>
          <w:sz w:val="28"/>
          <w:szCs w:val="28"/>
          <w:lang w:val="en-US"/>
        </w:rPr>
      </w:pPr>
      <w:r>
        <w:rPr>
          <w:rFonts w:ascii="Verdana" w:hAnsi="Verdana" w:cs="Arial"/>
          <w:b/>
          <w:bCs/>
          <w:noProof/>
          <w:sz w:val="28"/>
          <w:szCs w:val="28"/>
          <w:lang w:val="en-US"/>
        </w:rPr>
        <w:t>A</w:t>
      </w:r>
      <w:r w:rsidR="004906AB">
        <w:rPr>
          <w:rFonts w:ascii="Verdana" w:hAnsi="Verdana" w:cs="Arial"/>
          <w:b/>
          <w:bCs/>
          <w:noProof/>
          <w:sz w:val="28"/>
          <w:szCs w:val="28"/>
          <w:lang w:val="en-US"/>
        </w:rPr>
        <w:t>sset</w:t>
      </w:r>
      <w:r>
        <w:rPr>
          <w:rFonts w:ascii="Verdana" w:hAnsi="Verdana" w:cs="Arial"/>
          <w:b/>
          <w:bCs/>
          <w:noProof/>
          <w:sz w:val="28"/>
          <w:szCs w:val="28"/>
          <w:lang w:val="en-US"/>
        </w:rPr>
        <w:t xml:space="preserve"> </w:t>
      </w:r>
      <w:r w:rsidR="004906AB">
        <w:rPr>
          <w:rFonts w:ascii="Verdana" w:hAnsi="Verdana" w:cs="Arial"/>
          <w:b/>
          <w:bCs/>
          <w:noProof/>
          <w:sz w:val="28"/>
          <w:szCs w:val="28"/>
          <w:lang w:val="en-US"/>
        </w:rPr>
        <w:t>Management</w:t>
      </w:r>
      <w:r w:rsidR="00520D68">
        <w:rPr>
          <w:rFonts w:ascii="Verdana" w:hAnsi="Verdana" w:cs="Arial"/>
          <w:b/>
          <w:bCs/>
          <w:noProof/>
          <w:sz w:val="28"/>
          <w:szCs w:val="28"/>
          <w:lang w:val="en-US"/>
        </w:rPr>
        <w:t xml:space="preserve"> Homepage Guide</w:t>
      </w:r>
    </w:p>
    <w:p w14:paraId="5C23860D" w14:textId="77777777" w:rsidR="005F7B5A" w:rsidRPr="00996C68" w:rsidRDefault="00800E42" w:rsidP="00800551">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14:paraId="59DA8D25"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14:paraId="3DCFD2B3" w14:textId="77777777" w:rsidTr="00161D65">
        <w:tc>
          <w:tcPr>
            <w:tcW w:w="3330" w:type="dxa"/>
          </w:tcPr>
          <w:p w14:paraId="306597EA" w14:textId="77777777" w:rsidR="00AF2E3C" w:rsidRPr="00800551" w:rsidRDefault="00AF2E3C" w:rsidP="00161D65">
            <w:pPr>
              <w:rPr>
                <w:rFonts w:ascii="Verdana" w:hAnsi="Verdana"/>
                <w:b/>
                <w:noProof/>
              </w:rPr>
            </w:pPr>
            <w:r w:rsidRPr="00800551">
              <w:rPr>
                <w:rFonts w:ascii="Verdana" w:hAnsi="Verdana"/>
                <w:b/>
                <w:noProof/>
              </w:rPr>
              <w:t>Date Created:</w:t>
            </w:r>
          </w:p>
        </w:tc>
        <w:tc>
          <w:tcPr>
            <w:tcW w:w="7128" w:type="dxa"/>
          </w:tcPr>
          <w:p w14:paraId="4481ACD2" w14:textId="32C7FDF7" w:rsidR="003738F2" w:rsidRPr="00800551" w:rsidRDefault="00520D68" w:rsidP="00290E9D">
            <w:pPr>
              <w:rPr>
                <w:rFonts w:ascii="Verdana" w:hAnsi="Verdana"/>
              </w:rPr>
            </w:pPr>
            <w:r>
              <w:rPr>
                <w:rFonts w:ascii="Verdana" w:hAnsi="Verdana"/>
              </w:rPr>
              <w:t>3</w:t>
            </w:r>
            <w:r w:rsidR="000F03C0">
              <w:rPr>
                <w:rFonts w:ascii="Verdana" w:hAnsi="Verdana"/>
              </w:rPr>
              <w:t>/</w:t>
            </w:r>
            <w:r w:rsidR="004906AB">
              <w:rPr>
                <w:rFonts w:ascii="Verdana" w:hAnsi="Verdana"/>
              </w:rPr>
              <w:t>11</w:t>
            </w:r>
            <w:r w:rsidR="000F03C0">
              <w:rPr>
                <w:rFonts w:ascii="Verdana" w:hAnsi="Verdana"/>
              </w:rPr>
              <w:t>/2019</w:t>
            </w:r>
          </w:p>
        </w:tc>
      </w:tr>
      <w:tr w:rsidR="00AF2E3C" w:rsidRPr="00161D65" w14:paraId="1EA8269E" w14:textId="77777777" w:rsidTr="00161D65">
        <w:tc>
          <w:tcPr>
            <w:tcW w:w="3330" w:type="dxa"/>
          </w:tcPr>
          <w:p w14:paraId="68D2F1C5" w14:textId="77777777" w:rsidR="00AF2E3C" w:rsidRPr="00800551" w:rsidRDefault="00AF2E3C" w:rsidP="00161D65">
            <w:pPr>
              <w:rPr>
                <w:rFonts w:ascii="Verdana" w:hAnsi="Verdana"/>
                <w:b/>
                <w:noProof/>
              </w:rPr>
            </w:pPr>
            <w:r w:rsidRPr="00800551">
              <w:rPr>
                <w:rFonts w:ascii="Verdana" w:hAnsi="Verdana"/>
                <w:b/>
                <w:noProof/>
              </w:rPr>
              <w:t>Version:</w:t>
            </w:r>
          </w:p>
        </w:tc>
        <w:tc>
          <w:tcPr>
            <w:tcW w:w="7128" w:type="dxa"/>
          </w:tcPr>
          <w:p w14:paraId="7F91FD1C" w14:textId="77777777" w:rsidR="00AF2E3C" w:rsidRPr="00800551" w:rsidRDefault="000F03C0" w:rsidP="00EE1A38">
            <w:pPr>
              <w:rPr>
                <w:rFonts w:ascii="Verdana" w:hAnsi="Verdana"/>
              </w:rPr>
            </w:pPr>
            <w:r>
              <w:rPr>
                <w:rFonts w:ascii="Verdana" w:hAnsi="Verdana"/>
              </w:rPr>
              <w:t>1</w:t>
            </w:r>
          </w:p>
        </w:tc>
      </w:tr>
      <w:tr w:rsidR="003738F2" w:rsidRPr="00161D65" w14:paraId="31F62CC8" w14:textId="77777777" w:rsidTr="00161D65">
        <w:tc>
          <w:tcPr>
            <w:tcW w:w="3330" w:type="dxa"/>
          </w:tcPr>
          <w:p w14:paraId="33DE3039" w14:textId="77777777" w:rsidR="003738F2" w:rsidRPr="00800551" w:rsidRDefault="003738F2" w:rsidP="00161D65">
            <w:pPr>
              <w:rPr>
                <w:rFonts w:ascii="Verdana" w:hAnsi="Verdana"/>
                <w:b/>
                <w:noProof/>
              </w:rPr>
            </w:pPr>
            <w:r w:rsidRPr="00800551">
              <w:rPr>
                <w:rFonts w:ascii="Verdana" w:hAnsi="Verdana"/>
                <w:b/>
                <w:noProof/>
              </w:rPr>
              <w:t>Last Updated Date:</w:t>
            </w:r>
          </w:p>
        </w:tc>
        <w:tc>
          <w:tcPr>
            <w:tcW w:w="7128" w:type="dxa"/>
          </w:tcPr>
          <w:p w14:paraId="6DECD6B7" w14:textId="34710C5F" w:rsidR="003738F2" w:rsidRPr="000F03C0" w:rsidRDefault="00B90D45" w:rsidP="00254DE3">
            <w:pPr>
              <w:rPr>
                <w:rFonts w:ascii="Verdana" w:hAnsi="Verdana"/>
                <w:color w:val="FF0000"/>
              </w:rPr>
            </w:pPr>
            <w:r>
              <w:rPr>
                <w:rFonts w:ascii="Verdana" w:hAnsi="Verdana"/>
              </w:rPr>
              <w:t>3</w:t>
            </w:r>
            <w:r w:rsidR="00520D68">
              <w:rPr>
                <w:rFonts w:ascii="Verdana" w:hAnsi="Verdana"/>
              </w:rPr>
              <w:t>/</w:t>
            </w:r>
            <w:r w:rsidR="004906AB">
              <w:rPr>
                <w:rFonts w:ascii="Verdana" w:hAnsi="Verdana"/>
              </w:rPr>
              <w:t>11</w:t>
            </w:r>
            <w:r w:rsidR="00746CB1">
              <w:rPr>
                <w:rFonts w:ascii="Verdana" w:hAnsi="Verdana"/>
              </w:rPr>
              <w:t>/2019</w:t>
            </w:r>
          </w:p>
        </w:tc>
      </w:tr>
      <w:tr w:rsidR="000B12F4" w:rsidRPr="00161D65" w14:paraId="433F03A0" w14:textId="77777777" w:rsidTr="00161D65">
        <w:tc>
          <w:tcPr>
            <w:tcW w:w="3330" w:type="dxa"/>
          </w:tcPr>
          <w:p w14:paraId="4C20C9B3" w14:textId="77777777" w:rsidR="000B12F4" w:rsidRPr="00800551" w:rsidRDefault="000F03C0" w:rsidP="0001126C">
            <w:pPr>
              <w:rPr>
                <w:rFonts w:ascii="Verdana" w:hAnsi="Verdana"/>
                <w:b/>
                <w:noProof/>
              </w:rPr>
            </w:pPr>
            <w:r>
              <w:rPr>
                <w:rFonts w:ascii="Verdana" w:hAnsi="Verdana"/>
                <w:b/>
                <w:noProof/>
              </w:rPr>
              <w:t>Background:</w:t>
            </w:r>
          </w:p>
        </w:tc>
        <w:tc>
          <w:tcPr>
            <w:tcW w:w="7128" w:type="dxa"/>
          </w:tcPr>
          <w:p w14:paraId="47CCA5D1" w14:textId="755E19AF" w:rsidR="00520D68" w:rsidRDefault="00520D68" w:rsidP="008F6DFE">
            <w:pPr>
              <w:rPr>
                <w:rFonts w:ascii="Verdana" w:hAnsi="Verdana"/>
                <w:noProof/>
              </w:rPr>
            </w:pPr>
            <w:r>
              <w:rPr>
                <w:rFonts w:ascii="Verdana" w:hAnsi="Verdana"/>
                <w:noProof/>
              </w:rPr>
              <w:t xml:space="preserve">The </w:t>
            </w:r>
            <w:r w:rsidR="004906AB">
              <w:rPr>
                <w:rFonts w:ascii="Verdana" w:hAnsi="Verdana"/>
                <w:noProof/>
              </w:rPr>
              <w:t>Asset Management</w:t>
            </w:r>
            <w:r>
              <w:rPr>
                <w:rFonts w:ascii="Verdana" w:hAnsi="Verdana"/>
                <w:noProof/>
              </w:rPr>
              <w:t xml:space="preserve"> Homepage </w:t>
            </w:r>
            <w:r w:rsidR="00E504DE">
              <w:rPr>
                <w:rFonts w:ascii="Verdana" w:hAnsi="Verdana"/>
                <w:noProof/>
              </w:rPr>
              <w:t>contain</w:t>
            </w:r>
            <w:r w:rsidR="00131B6F">
              <w:rPr>
                <w:rFonts w:ascii="Verdana" w:hAnsi="Verdana"/>
                <w:noProof/>
              </w:rPr>
              <w:t xml:space="preserve">s </w:t>
            </w:r>
            <w:r w:rsidR="00AF4474">
              <w:rPr>
                <w:rFonts w:ascii="Verdana" w:hAnsi="Verdana"/>
                <w:noProof/>
              </w:rPr>
              <w:t>transaction, pro</w:t>
            </w:r>
            <w:r w:rsidR="00017D76">
              <w:rPr>
                <w:rFonts w:ascii="Verdana" w:hAnsi="Verdana"/>
                <w:noProof/>
              </w:rPr>
              <w:t>c</w:t>
            </w:r>
            <w:r w:rsidR="00AF4474">
              <w:rPr>
                <w:rFonts w:ascii="Verdana" w:hAnsi="Verdana"/>
                <w:noProof/>
              </w:rPr>
              <w:t xml:space="preserve">essing and reporting </w:t>
            </w:r>
            <w:r w:rsidR="0016169D">
              <w:rPr>
                <w:rFonts w:ascii="Verdana" w:hAnsi="Verdana"/>
                <w:noProof/>
              </w:rPr>
              <w:t xml:space="preserve">pages from </w:t>
            </w:r>
            <w:r w:rsidR="003D36F0">
              <w:rPr>
                <w:rFonts w:ascii="Verdana" w:hAnsi="Verdana"/>
                <w:noProof/>
              </w:rPr>
              <w:t xml:space="preserve">the </w:t>
            </w:r>
            <w:r w:rsidR="004906AB">
              <w:rPr>
                <w:rFonts w:ascii="Verdana" w:hAnsi="Verdana"/>
                <w:noProof/>
              </w:rPr>
              <w:t xml:space="preserve">Asset Management </w:t>
            </w:r>
            <w:r w:rsidR="00131B6F">
              <w:rPr>
                <w:rFonts w:ascii="Verdana" w:hAnsi="Verdana"/>
                <w:noProof/>
              </w:rPr>
              <w:t>module</w:t>
            </w:r>
            <w:r w:rsidR="004906AB">
              <w:rPr>
                <w:rFonts w:ascii="Verdana" w:hAnsi="Verdana"/>
                <w:noProof/>
              </w:rPr>
              <w:t xml:space="preserve">.  </w:t>
            </w:r>
          </w:p>
          <w:p w14:paraId="51C9BC06" w14:textId="5FB542B3" w:rsidR="00520D68" w:rsidRPr="00F74609" w:rsidRDefault="00520D68" w:rsidP="008F6DFE">
            <w:pPr>
              <w:rPr>
                <w:rFonts w:ascii="Verdana" w:hAnsi="Verdana"/>
                <w:noProof/>
              </w:rPr>
            </w:pPr>
          </w:p>
        </w:tc>
      </w:tr>
      <w:tr w:rsidR="005D69D6" w:rsidRPr="00161D65" w14:paraId="78D98677" w14:textId="77777777" w:rsidTr="00161D65">
        <w:tc>
          <w:tcPr>
            <w:tcW w:w="3330" w:type="dxa"/>
          </w:tcPr>
          <w:p w14:paraId="66D0DA7F" w14:textId="5F9C16C7" w:rsidR="005D69D6" w:rsidRPr="000A7AED" w:rsidRDefault="004906AB" w:rsidP="00C77DAD">
            <w:pPr>
              <w:rPr>
                <w:rFonts w:ascii="Verdana" w:hAnsi="Verdana"/>
                <w:noProof/>
              </w:rPr>
            </w:pPr>
            <w:r>
              <w:rPr>
                <w:rFonts w:ascii="Verdana" w:hAnsi="Verdana"/>
                <w:b/>
                <w:noProof/>
              </w:rPr>
              <w:t>Asset Management</w:t>
            </w:r>
            <w:r w:rsidR="00131B6F">
              <w:rPr>
                <w:rFonts w:ascii="Verdana" w:hAnsi="Verdana"/>
                <w:b/>
                <w:noProof/>
              </w:rPr>
              <w:t xml:space="preserve"> </w:t>
            </w:r>
            <w:r w:rsidR="00AE5A21" w:rsidRPr="00A260B4">
              <w:rPr>
                <w:rFonts w:ascii="Verdana" w:hAnsi="Verdana"/>
                <w:b/>
                <w:noProof/>
              </w:rPr>
              <w:t xml:space="preserve"> Homepage:</w:t>
            </w:r>
          </w:p>
        </w:tc>
        <w:tc>
          <w:tcPr>
            <w:tcW w:w="7128" w:type="dxa"/>
          </w:tcPr>
          <w:p w14:paraId="0717DE72" w14:textId="00268D41" w:rsidR="00520D68" w:rsidRDefault="00520D68" w:rsidP="00AE5A21">
            <w:pPr>
              <w:rPr>
                <w:rFonts w:ascii="Verdana" w:hAnsi="Verdana"/>
                <w:noProof/>
              </w:rPr>
            </w:pPr>
            <w:r>
              <w:rPr>
                <w:rFonts w:ascii="Verdana" w:hAnsi="Verdana"/>
                <w:noProof/>
              </w:rPr>
              <w:t>The</w:t>
            </w:r>
            <w:r w:rsidR="00E504DE">
              <w:rPr>
                <w:rFonts w:ascii="Verdana" w:hAnsi="Verdana"/>
                <w:noProof/>
              </w:rPr>
              <w:t xml:space="preserve"> </w:t>
            </w:r>
            <w:r w:rsidR="004906AB">
              <w:rPr>
                <w:rFonts w:ascii="Verdana" w:hAnsi="Verdana"/>
                <w:noProof/>
              </w:rPr>
              <w:t>Asset Management</w:t>
            </w:r>
            <w:r>
              <w:rPr>
                <w:rFonts w:ascii="Verdana" w:hAnsi="Verdana"/>
                <w:noProof/>
              </w:rPr>
              <w:t xml:space="preserve"> homepage contains the following tiles:</w:t>
            </w:r>
          </w:p>
          <w:p w14:paraId="26FED430" w14:textId="2402213D" w:rsidR="00520D68" w:rsidRDefault="004906AB" w:rsidP="00520D68">
            <w:pPr>
              <w:numPr>
                <w:ilvl w:val="0"/>
                <w:numId w:val="14"/>
              </w:numPr>
              <w:rPr>
                <w:rFonts w:ascii="Verdana" w:hAnsi="Verdana"/>
                <w:noProof/>
              </w:rPr>
            </w:pPr>
            <w:r>
              <w:rPr>
                <w:rFonts w:ascii="Verdana" w:hAnsi="Verdana"/>
                <w:b/>
                <w:noProof/>
              </w:rPr>
              <w:t>Asset Transactions</w:t>
            </w:r>
          </w:p>
          <w:p w14:paraId="31FFE59E" w14:textId="3F782B6B" w:rsidR="00131B6F" w:rsidRPr="00A2130C" w:rsidRDefault="004906AB" w:rsidP="00A2130C">
            <w:pPr>
              <w:numPr>
                <w:ilvl w:val="0"/>
                <w:numId w:val="14"/>
              </w:numPr>
              <w:rPr>
                <w:rFonts w:ascii="Verdana" w:hAnsi="Verdana"/>
                <w:noProof/>
              </w:rPr>
            </w:pPr>
            <w:r>
              <w:rPr>
                <w:rFonts w:ascii="Verdana" w:hAnsi="Verdana"/>
                <w:b/>
                <w:noProof/>
              </w:rPr>
              <w:t>Depreciation</w:t>
            </w:r>
          </w:p>
          <w:p w14:paraId="7D53E875" w14:textId="45ED44EF" w:rsidR="00520D68" w:rsidRPr="00131B6F" w:rsidRDefault="004906AB" w:rsidP="004B0AAC">
            <w:pPr>
              <w:numPr>
                <w:ilvl w:val="0"/>
                <w:numId w:val="14"/>
              </w:numPr>
              <w:rPr>
                <w:rFonts w:ascii="Verdana" w:hAnsi="Verdana"/>
                <w:noProof/>
              </w:rPr>
            </w:pPr>
            <w:r>
              <w:rPr>
                <w:rFonts w:ascii="Verdana" w:hAnsi="Verdana"/>
                <w:b/>
                <w:noProof/>
              </w:rPr>
              <w:t>Accounting Entries</w:t>
            </w:r>
          </w:p>
          <w:p w14:paraId="377AFFA0" w14:textId="2DEA5FF6" w:rsidR="00520D68" w:rsidRPr="00520D68" w:rsidRDefault="004906AB" w:rsidP="00520D68">
            <w:pPr>
              <w:numPr>
                <w:ilvl w:val="0"/>
                <w:numId w:val="14"/>
              </w:numPr>
              <w:rPr>
                <w:rFonts w:ascii="Verdana" w:hAnsi="Verdana"/>
                <w:noProof/>
              </w:rPr>
            </w:pPr>
            <w:r>
              <w:rPr>
                <w:rFonts w:ascii="Verdana" w:hAnsi="Verdana"/>
                <w:b/>
                <w:noProof/>
              </w:rPr>
              <w:t>Send/Receive Information</w:t>
            </w:r>
          </w:p>
          <w:p w14:paraId="21BCFC39" w14:textId="631D66F2" w:rsidR="00520D68" w:rsidRPr="00520D68" w:rsidRDefault="004906AB" w:rsidP="00520D68">
            <w:pPr>
              <w:numPr>
                <w:ilvl w:val="0"/>
                <w:numId w:val="14"/>
              </w:numPr>
              <w:rPr>
                <w:rFonts w:ascii="Verdana" w:hAnsi="Verdana"/>
                <w:noProof/>
              </w:rPr>
            </w:pPr>
            <w:r>
              <w:rPr>
                <w:rFonts w:ascii="Verdana" w:hAnsi="Verdana"/>
                <w:b/>
                <w:noProof/>
              </w:rPr>
              <w:t>Asset Management WorkCenter</w:t>
            </w:r>
          </w:p>
          <w:p w14:paraId="7CB17E59" w14:textId="3A0305AE" w:rsidR="00520D68" w:rsidRPr="004906AB" w:rsidRDefault="004906AB" w:rsidP="004906AB">
            <w:pPr>
              <w:numPr>
                <w:ilvl w:val="0"/>
                <w:numId w:val="14"/>
              </w:numPr>
              <w:rPr>
                <w:rFonts w:ascii="Verdana" w:hAnsi="Verdana"/>
                <w:noProof/>
              </w:rPr>
            </w:pPr>
            <w:r>
              <w:rPr>
                <w:rFonts w:ascii="Verdana" w:hAnsi="Verdana"/>
                <w:b/>
                <w:noProof/>
              </w:rPr>
              <w:t>Asset Management Reports</w:t>
            </w:r>
          </w:p>
          <w:p w14:paraId="5DA57682" w14:textId="5128B09E" w:rsidR="004906AB" w:rsidRPr="004906AB" w:rsidRDefault="002D7CCC" w:rsidP="003C1854">
            <w:pPr>
              <w:numPr>
                <w:ilvl w:val="0"/>
                <w:numId w:val="14"/>
              </w:numPr>
              <w:rPr>
                <w:rFonts w:ascii="Verdana" w:hAnsi="Verdana"/>
                <w:noProof/>
              </w:rPr>
            </w:pPr>
            <w:r w:rsidRPr="004906AB">
              <w:rPr>
                <w:rFonts w:ascii="Verdana" w:hAnsi="Verdana"/>
                <w:b/>
                <w:noProof/>
              </w:rPr>
              <w:t>Utilities</w:t>
            </w:r>
          </w:p>
          <w:p w14:paraId="210C6D93" w14:textId="77777777" w:rsidR="004906AB" w:rsidRPr="004906AB" w:rsidRDefault="004906AB" w:rsidP="004906AB">
            <w:pPr>
              <w:ind w:left="720"/>
              <w:rPr>
                <w:rFonts w:ascii="Verdana" w:hAnsi="Verdana"/>
                <w:noProof/>
              </w:rPr>
            </w:pPr>
          </w:p>
          <w:p w14:paraId="273CB028" w14:textId="091F23C4" w:rsidR="00520D68" w:rsidRDefault="004906AB" w:rsidP="00AE5A21">
            <w:pPr>
              <w:rPr>
                <w:rFonts w:ascii="Verdana" w:hAnsi="Verdana"/>
                <w:noProof/>
              </w:rPr>
            </w:pPr>
            <w:r>
              <w:rPr>
                <w:noProof/>
              </w:rPr>
              <w:drawing>
                <wp:inline distT="0" distB="0" distL="0" distR="0" wp14:anchorId="0AABCA22" wp14:editId="573C58D8">
                  <wp:extent cx="4329901" cy="358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4587" cy="3629719"/>
                          </a:xfrm>
                          <a:prstGeom prst="rect">
                            <a:avLst/>
                          </a:prstGeom>
                        </pic:spPr>
                      </pic:pic>
                    </a:graphicData>
                  </a:graphic>
                </wp:inline>
              </w:drawing>
            </w:r>
          </w:p>
          <w:p w14:paraId="385303CA" w14:textId="40593134" w:rsidR="00520D68" w:rsidRDefault="00520D68" w:rsidP="00AE5A21">
            <w:pPr>
              <w:rPr>
                <w:rFonts w:ascii="Verdana" w:hAnsi="Verdana"/>
                <w:noProof/>
              </w:rPr>
            </w:pPr>
          </w:p>
          <w:p w14:paraId="0CF975F0" w14:textId="77777777" w:rsidR="00AE5A21" w:rsidRDefault="00AE5A21" w:rsidP="00520D68">
            <w:pPr>
              <w:rPr>
                <w:noProof/>
              </w:rPr>
            </w:pPr>
          </w:p>
          <w:p w14:paraId="2E291363" w14:textId="6205A0DF" w:rsidR="00A2130C" w:rsidRPr="0096757B" w:rsidRDefault="00A2130C" w:rsidP="00520D68">
            <w:pPr>
              <w:rPr>
                <w:noProof/>
              </w:rPr>
            </w:pPr>
          </w:p>
        </w:tc>
      </w:tr>
      <w:tr w:rsidR="00520D68" w:rsidRPr="00161D65" w14:paraId="4DC749B2" w14:textId="77777777" w:rsidTr="00161D65">
        <w:tc>
          <w:tcPr>
            <w:tcW w:w="3330" w:type="dxa"/>
          </w:tcPr>
          <w:p w14:paraId="411FE0E6" w14:textId="56CD2A12" w:rsidR="00520D68" w:rsidRPr="00A260B4" w:rsidRDefault="00520D68" w:rsidP="00C77DAD">
            <w:pPr>
              <w:rPr>
                <w:rFonts w:ascii="Verdana" w:hAnsi="Verdana"/>
                <w:b/>
                <w:noProof/>
              </w:rPr>
            </w:pPr>
            <w:r>
              <w:lastRenderedPageBreak/>
              <w:br w:type="page"/>
            </w:r>
            <w:r w:rsidR="004906AB">
              <w:rPr>
                <w:rFonts w:ascii="Verdana" w:hAnsi="Verdana"/>
                <w:b/>
                <w:noProof/>
              </w:rPr>
              <w:t>Asset Transactions</w:t>
            </w:r>
          </w:p>
        </w:tc>
        <w:tc>
          <w:tcPr>
            <w:tcW w:w="7128" w:type="dxa"/>
          </w:tcPr>
          <w:p w14:paraId="60B69F9F" w14:textId="618EAB34" w:rsidR="00520D68" w:rsidRDefault="00520D68" w:rsidP="00D6082F">
            <w:pPr>
              <w:rPr>
                <w:rFonts w:ascii="Verdana" w:hAnsi="Verdana"/>
                <w:noProof/>
              </w:rPr>
            </w:pPr>
            <w:r>
              <w:rPr>
                <w:rFonts w:ascii="Verdana" w:hAnsi="Verdana"/>
                <w:noProof/>
              </w:rPr>
              <w:t>The ‘</w:t>
            </w:r>
            <w:r w:rsidR="004906AB">
              <w:rPr>
                <w:rFonts w:ascii="Verdana" w:hAnsi="Verdana"/>
                <w:noProof/>
              </w:rPr>
              <w:t>Asset Transactions</w:t>
            </w:r>
            <w:r>
              <w:rPr>
                <w:rFonts w:ascii="Verdana" w:hAnsi="Verdana"/>
                <w:noProof/>
              </w:rPr>
              <w:t>’ tile contain</w:t>
            </w:r>
            <w:r w:rsidR="00C434CC">
              <w:rPr>
                <w:rFonts w:ascii="Verdana" w:hAnsi="Verdana"/>
                <w:noProof/>
              </w:rPr>
              <w:t>s</w:t>
            </w:r>
            <w:r>
              <w:rPr>
                <w:rFonts w:ascii="Verdana" w:hAnsi="Verdana"/>
                <w:noProof/>
              </w:rPr>
              <w:t xml:space="preserve"> </w:t>
            </w:r>
            <w:r w:rsidR="00DF3654">
              <w:rPr>
                <w:rFonts w:ascii="Verdana" w:hAnsi="Verdana"/>
                <w:noProof/>
              </w:rPr>
              <w:t xml:space="preserve">the pages used to </w:t>
            </w:r>
            <w:r w:rsidR="00D6082F">
              <w:rPr>
                <w:rFonts w:ascii="Verdana" w:hAnsi="Verdana"/>
                <w:noProof/>
              </w:rPr>
              <w:t>enter assets online and review asset information.  Parent-Child relationship information is entered on this tile.  Cost Adjustments, transfers, disposals and cost history are all entered and reviewed via this tile as well.</w:t>
            </w:r>
          </w:p>
          <w:p w14:paraId="5EED2FF3" w14:textId="77777777" w:rsidR="00AF6FE4" w:rsidRDefault="00AF6FE4" w:rsidP="00AE5A21">
            <w:pPr>
              <w:rPr>
                <w:rFonts w:ascii="Verdana" w:hAnsi="Verdana"/>
                <w:noProof/>
              </w:rPr>
            </w:pPr>
          </w:p>
          <w:p w14:paraId="7D202298" w14:textId="66031865" w:rsidR="00520D68" w:rsidRDefault="00487D26" w:rsidP="00877137">
            <w:pPr>
              <w:jc w:val="center"/>
              <w:rPr>
                <w:noProof/>
              </w:rPr>
            </w:pPr>
            <w:r>
              <w:rPr>
                <w:noProof/>
              </w:rPr>
              <w:drawing>
                <wp:inline distT="0" distB="0" distL="0" distR="0" wp14:anchorId="1FCBC35F" wp14:editId="1945635C">
                  <wp:extent cx="1901952" cy="1536193"/>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9399" cy="1566439"/>
                          </a:xfrm>
                          <a:prstGeom prst="rect">
                            <a:avLst/>
                          </a:prstGeom>
                        </pic:spPr>
                      </pic:pic>
                    </a:graphicData>
                  </a:graphic>
                </wp:inline>
              </w:drawing>
            </w:r>
          </w:p>
          <w:p w14:paraId="25F4871E" w14:textId="77777777" w:rsidR="00CD7035" w:rsidRDefault="00CD7035" w:rsidP="00877137">
            <w:pPr>
              <w:jc w:val="center"/>
              <w:rPr>
                <w:noProof/>
              </w:rPr>
            </w:pPr>
          </w:p>
          <w:p w14:paraId="7E0F1F39" w14:textId="62F26279" w:rsidR="00EC70CB" w:rsidRDefault="00487D26" w:rsidP="00877137">
            <w:pPr>
              <w:jc w:val="center"/>
              <w:rPr>
                <w:noProof/>
              </w:rPr>
            </w:pPr>
            <w:r>
              <w:rPr>
                <w:noProof/>
              </w:rPr>
              <w:drawing>
                <wp:inline distT="0" distB="0" distL="0" distR="0" wp14:anchorId="07B89E44" wp14:editId="4E6C15BD">
                  <wp:extent cx="1880007" cy="5213347"/>
                  <wp:effectExtent l="19050" t="19050" r="2540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5321" cy="5422197"/>
                          </a:xfrm>
                          <a:prstGeom prst="rect">
                            <a:avLst/>
                          </a:prstGeom>
                          <a:ln>
                            <a:solidFill>
                              <a:schemeClr val="accent1"/>
                            </a:solidFill>
                          </a:ln>
                        </pic:spPr>
                      </pic:pic>
                    </a:graphicData>
                  </a:graphic>
                </wp:inline>
              </w:drawing>
            </w:r>
          </w:p>
          <w:p w14:paraId="7F03BF1A" w14:textId="568666BC" w:rsidR="00520D68" w:rsidRPr="00261D44" w:rsidRDefault="00520D68" w:rsidP="00AE5A21">
            <w:pPr>
              <w:rPr>
                <w:rFonts w:ascii="Verdana" w:hAnsi="Verdana"/>
                <w:noProof/>
              </w:rPr>
            </w:pPr>
          </w:p>
        </w:tc>
      </w:tr>
      <w:tr w:rsidR="00520D68" w:rsidRPr="00161D65" w14:paraId="0F80426C" w14:textId="77777777" w:rsidTr="00161D65">
        <w:tc>
          <w:tcPr>
            <w:tcW w:w="3330" w:type="dxa"/>
          </w:tcPr>
          <w:p w14:paraId="6E070E8D" w14:textId="78B7EEF3" w:rsidR="00520D68" w:rsidRDefault="00487D26" w:rsidP="00C77DAD">
            <w:pPr>
              <w:rPr>
                <w:rFonts w:ascii="Verdana" w:hAnsi="Verdana"/>
                <w:b/>
                <w:noProof/>
              </w:rPr>
            </w:pPr>
            <w:r>
              <w:rPr>
                <w:rFonts w:ascii="Verdana" w:hAnsi="Verdana"/>
                <w:b/>
                <w:noProof/>
              </w:rPr>
              <w:lastRenderedPageBreak/>
              <w:t>Depreciation</w:t>
            </w:r>
          </w:p>
        </w:tc>
        <w:tc>
          <w:tcPr>
            <w:tcW w:w="7128" w:type="dxa"/>
          </w:tcPr>
          <w:p w14:paraId="3F86AA32" w14:textId="06A888AB" w:rsidR="00966309" w:rsidRDefault="00136423" w:rsidP="00AE5A21">
            <w:pPr>
              <w:rPr>
                <w:rFonts w:ascii="Verdana" w:hAnsi="Verdana"/>
                <w:noProof/>
              </w:rPr>
            </w:pPr>
            <w:r>
              <w:rPr>
                <w:rFonts w:ascii="Verdana" w:hAnsi="Verdana"/>
                <w:noProof/>
              </w:rPr>
              <w:t>Th</w:t>
            </w:r>
            <w:r w:rsidR="006C6F31">
              <w:rPr>
                <w:rFonts w:ascii="Verdana" w:hAnsi="Verdana"/>
                <w:noProof/>
              </w:rPr>
              <w:t>e ‘</w:t>
            </w:r>
            <w:r w:rsidR="00487D26">
              <w:rPr>
                <w:rFonts w:ascii="Verdana" w:hAnsi="Verdana"/>
                <w:noProof/>
              </w:rPr>
              <w:t>Depreciation</w:t>
            </w:r>
            <w:r w:rsidR="006C6F31">
              <w:rPr>
                <w:rFonts w:ascii="Verdana" w:hAnsi="Verdana"/>
                <w:noProof/>
              </w:rPr>
              <w:t>’</w:t>
            </w:r>
            <w:r>
              <w:rPr>
                <w:rFonts w:ascii="Verdana" w:hAnsi="Verdana"/>
                <w:noProof/>
              </w:rPr>
              <w:t xml:space="preserve"> tile </w:t>
            </w:r>
            <w:r w:rsidR="00487D26">
              <w:rPr>
                <w:rFonts w:ascii="Verdana" w:hAnsi="Verdana"/>
                <w:noProof/>
              </w:rPr>
              <w:t>is used to review open transactions, calculate depreciation and review depreciation</w:t>
            </w:r>
            <w:r w:rsidR="009D7ED9">
              <w:rPr>
                <w:rFonts w:ascii="Verdana" w:hAnsi="Verdana"/>
                <w:noProof/>
              </w:rPr>
              <w:t xml:space="preserve">.  </w:t>
            </w:r>
          </w:p>
          <w:p w14:paraId="56004450" w14:textId="77777777" w:rsidR="00913CAE" w:rsidRDefault="00913CAE" w:rsidP="00AE5A21">
            <w:pPr>
              <w:rPr>
                <w:rFonts w:ascii="Verdana" w:hAnsi="Verdana"/>
                <w:noProof/>
              </w:rPr>
            </w:pPr>
          </w:p>
          <w:p w14:paraId="5AA80F78" w14:textId="2EB874F4" w:rsidR="00B23587" w:rsidRDefault="00487D26" w:rsidP="00674FAC">
            <w:pPr>
              <w:jc w:val="center"/>
              <w:rPr>
                <w:rFonts w:ascii="Verdana" w:hAnsi="Verdana"/>
                <w:noProof/>
              </w:rPr>
            </w:pPr>
            <w:r>
              <w:rPr>
                <w:noProof/>
              </w:rPr>
              <w:drawing>
                <wp:inline distT="0" distB="0" distL="0" distR="0" wp14:anchorId="756B882F" wp14:editId="7A0F40AF">
                  <wp:extent cx="1960473" cy="156388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2866" cy="1581752"/>
                          </a:xfrm>
                          <a:prstGeom prst="rect">
                            <a:avLst/>
                          </a:prstGeom>
                        </pic:spPr>
                      </pic:pic>
                    </a:graphicData>
                  </a:graphic>
                </wp:inline>
              </w:drawing>
            </w:r>
          </w:p>
          <w:p w14:paraId="5211BEDE" w14:textId="77777777" w:rsidR="00136423" w:rsidRDefault="00136423" w:rsidP="00674FAC">
            <w:pPr>
              <w:jc w:val="center"/>
              <w:rPr>
                <w:noProof/>
              </w:rPr>
            </w:pPr>
          </w:p>
          <w:p w14:paraId="4664CEF5" w14:textId="6E1193D2" w:rsidR="00136423" w:rsidRDefault="00487D26" w:rsidP="00674FAC">
            <w:pPr>
              <w:jc w:val="center"/>
              <w:rPr>
                <w:noProof/>
              </w:rPr>
            </w:pPr>
            <w:r>
              <w:rPr>
                <w:noProof/>
              </w:rPr>
              <w:drawing>
                <wp:inline distT="0" distB="0" distL="0" distR="0" wp14:anchorId="3360E004" wp14:editId="4A11BB40">
                  <wp:extent cx="1901952" cy="1058229"/>
                  <wp:effectExtent l="19050" t="19050" r="22225"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54803" cy="1087635"/>
                          </a:xfrm>
                          <a:prstGeom prst="rect">
                            <a:avLst/>
                          </a:prstGeom>
                          <a:ln>
                            <a:solidFill>
                              <a:schemeClr val="accent1"/>
                            </a:solidFill>
                          </a:ln>
                        </pic:spPr>
                      </pic:pic>
                    </a:graphicData>
                  </a:graphic>
                </wp:inline>
              </w:drawing>
            </w:r>
          </w:p>
          <w:p w14:paraId="21D2DB31" w14:textId="4D7137DC" w:rsidR="00136423" w:rsidRDefault="00136423" w:rsidP="00674FAC">
            <w:pPr>
              <w:jc w:val="center"/>
              <w:rPr>
                <w:noProof/>
              </w:rPr>
            </w:pPr>
          </w:p>
          <w:p w14:paraId="1FC624D8" w14:textId="5B62DFB3" w:rsidR="00695B00" w:rsidRDefault="00695B00" w:rsidP="00AE5A21">
            <w:pPr>
              <w:rPr>
                <w:rFonts w:ascii="Verdana" w:hAnsi="Verdana"/>
                <w:noProof/>
              </w:rPr>
            </w:pPr>
          </w:p>
        </w:tc>
      </w:tr>
      <w:tr w:rsidR="00BC074E" w:rsidRPr="00161D65" w14:paraId="26E8DA78" w14:textId="77777777" w:rsidTr="00161D65">
        <w:tc>
          <w:tcPr>
            <w:tcW w:w="3330" w:type="dxa"/>
          </w:tcPr>
          <w:p w14:paraId="550BD16B" w14:textId="17D3CBC0" w:rsidR="00BC074E" w:rsidRPr="00295099" w:rsidRDefault="00487D26" w:rsidP="00C77DAD">
            <w:pPr>
              <w:rPr>
                <w:rFonts w:ascii="Verdana" w:hAnsi="Verdana"/>
                <w:b/>
                <w:noProof/>
              </w:rPr>
            </w:pPr>
            <w:r>
              <w:rPr>
                <w:rFonts w:ascii="Verdana" w:hAnsi="Verdana"/>
                <w:b/>
                <w:noProof/>
              </w:rPr>
              <w:t>Accounting Entries</w:t>
            </w:r>
          </w:p>
        </w:tc>
        <w:tc>
          <w:tcPr>
            <w:tcW w:w="7128" w:type="dxa"/>
          </w:tcPr>
          <w:p w14:paraId="345EE86B" w14:textId="0B4F513C" w:rsidR="007B17CB" w:rsidRDefault="007B17CB" w:rsidP="007B17CB">
            <w:pPr>
              <w:rPr>
                <w:rFonts w:ascii="Verdana" w:hAnsi="Verdana"/>
                <w:noProof/>
              </w:rPr>
            </w:pPr>
            <w:r>
              <w:rPr>
                <w:rFonts w:ascii="Verdana" w:hAnsi="Verdana"/>
                <w:noProof/>
              </w:rPr>
              <w:t>The ‘</w:t>
            </w:r>
            <w:r w:rsidR="00487D26">
              <w:rPr>
                <w:rFonts w:ascii="Verdana" w:hAnsi="Verdana"/>
                <w:noProof/>
              </w:rPr>
              <w:t>Accounting Entries</w:t>
            </w:r>
            <w:r>
              <w:rPr>
                <w:rFonts w:ascii="Verdana" w:hAnsi="Verdana"/>
                <w:noProof/>
              </w:rPr>
              <w:t xml:space="preserve">’ tile is </w:t>
            </w:r>
            <w:r w:rsidR="00487D26">
              <w:rPr>
                <w:rFonts w:ascii="Verdana" w:hAnsi="Verdana"/>
                <w:noProof/>
              </w:rPr>
              <w:t>used to create accounting entries, run the Depreciation Close process</w:t>
            </w:r>
            <w:r w:rsidR="00765DBC">
              <w:rPr>
                <w:rFonts w:ascii="Verdana" w:hAnsi="Verdana"/>
                <w:noProof/>
              </w:rPr>
              <w:t xml:space="preserve"> and review financial entries.</w:t>
            </w:r>
          </w:p>
          <w:p w14:paraId="70A2DD58" w14:textId="77777777" w:rsidR="00295099" w:rsidRDefault="00295099" w:rsidP="00520D68">
            <w:pPr>
              <w:rPr>
                <w:rFonts w:ascii="Verdana" w:hAnsi="Verdana"/>
                <w:noProof/>
              </w:rPr>
            </w:pPr>
          </w:p>
          <w:p w14:paraId="04DBFF73" w14:textId="597C1C3D" w:rsidR="00B32370" w:rsidRDefault="00765DBC" w:rsidP="00674FAC">
            <w:pPr>
              <w:jc w:val="center"/>
              <w:rPr>
                <w:rFonts w:ascii="Verdana" w:hAnsi="Verdana"/>
                <w:noProof/>
              </w:rPr>
            </w:pPr>
            <w:r>
              <w:rPr>
                <w:noProof/>
              </w:rPr>
              <w:drawing>
                <wp:inline distT="0" distB="0" distL="0" distR="0" wp14:anchorId="095438EA" wp14:editId="1EA9846A">
                  <wp:extent cx="1880006" cy="1498242"/>
                  <wp:effectExtent l="0" t="0" r="635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1691" cy="1515523"/>
                          </a:xfrm>
                          <a:prstGeom prst="rect">
                            <a:avLst/>
                          </a:prstGeom>
                        </pic:spPr>
                      </pic:pic>
                    </a:graphicData>
                  </a:graphic>
                </wp:inline>
              </w:drawing>
            </w:r>
          </w:p>
          <w:p w14:paraId="01097634" w14:textId="630865CE" w:rsidR="00075D8E" w:rsidRDefault="00075D8E" w:rsidP="00674FAC">
            <w:pPr>
              <w:jc w:val="center"/>
              <w:rPr>
                <w:rFonts w:ascii="Verdana" w:hAnsi="Verdana"/>
                <w:noProof/>
              </w:rPr>
            </w:pPr>
          </w:p>
          <w:p w14:paraId="54368387" w14:textId="1634A353" w:rsidR="00075D8E" w:rsidRDefault="00765DBC" w:rsidP="00674FAC">
            <w:pPr>
              <w:jc w:val="center"/>
              <w:rPr>
                <w:rFonts w:ascii="Verdana" w:hAnsi="Verdana"/>
                <w:noProof/>
              </w:rPr>
            </w:pPr>
            <w:r>
              <w:rPr>
                <w:noProof/>
              </w:rPr>
              <w:drawing>
                <wp:inline distT="0" distB="0" distL="0" distR="0" wp14:anchorId="7C6A5F0C" wp14:editId="71F9B611">
                  <wp:extent cx="1960474" cy="1105707"/>
                  <wp:effectExtent l="19050" t="19050" r="20955" b="184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2811" cy="1123945"/>
                          </a:xfrm>
                          <a:prstGeom prst="rect">
                            <a:avLst/>
                          </a:prstGeom>
                          <a:ln>
                            <a:solidFill>
                              <a:schemeClr val="accent1"/>
                            </a:solidFill>
                          </a:ln>
                        </pic:spPr>
                      </pic:pic>
                    </a:graphicData>
                  </a:graphic>
                </wp:inline>
              </w:drawing>
            </w:r>
          </w:p>
          <w:p w14:paraId="5E359A0F" w14:textId="6091BA8A" w:rsidR="00B32370" w:rsidRDefault="00B32370" w:rsidP="00674FAC">
            <w:pPr>
              <w:jc w:val="center"/>
              <w:rPr>
                <w:rFonts w:ascii="Verdana" w:hAnsi="Verdana"/>
                <w:noProof/>
              </w:rPr>
            </w:pPr>
          </w:p>
          <w:p w14:paraId="67DD112D" w14:textId="33126132" w:rsidR="00295099" w:rsidRPr="00295099" w:rsidRDefault="00295099" w:rsidP="00520D68">
            <w:pPr>
              <w:rPr>
                <w:rFonts w:ascii="Verdana" w:hAnsi="Verdana"/>
                <w:noProof/>
              </w:rPr>
            </w:pPr>
          </w:p>
        </w:tc>
      </w:tr>
    </w:tbl>
    <w:p w14:paraId="330BC6DE" w14:textId="77777777" w:rsidR="003D474E" w:rsidRDefault="003D474E">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6C4A40" w:rsidRPr="00161D65" w14:paraId="61FF8F1F" w14:textId="77777777" w:rsidTr="00161D65">
        <w:tc>
          <w:tcPr>
            <w:tcW w:w="3330" w:type="dxa"/>
          </w:tcPr>
          <w:p w14:paraId="4E11EF61" w14:textId="6810152C" w:rsidR="006C4A40" w:rsidRPr="00A260B4" w:rsidRDefault="00765DBC" w:rsidP="00C77DAD">
            <w:pPr>
              <w:rPr>
                <w:rFonts w:ascii="Verdana" w:hAnsi="Verdana"/>
                <w:b/>
                <w:noProof/>
              </w:rPr>
            </w:pPr>
            <w:r>
              <w:rPr>
                <w:rFonts w:ascii="Verdana" w:hAnsi="Verdana"/>
                <w:b/>
                <w:noProof/>
              </w:rPr>
              <w:lastRenderedPageBreak/>
              <w:t>Send/Receive Information</w:t>
            </w:r>
          </w:p>
        </w:tc>
        <w:tc>
          <w:tcPr>
            <w:tcW w:w="7128" w:type="dxa"/>
          </w:tcPr>
          <w:p w14:paraId="3CAB6CB1" w14:textId="0C205E32" w:rsidR="00225257" w:rsidRDefault="00E84529" w:rsidP="00765DBC">
            <w:pPr>
              <w:rPr>
                <w:rFonts w:ascii="Verdana" w:hAnsi="Verdana"/>
                <w:noProof/>
              </w:rPr>
            </w:pPr>
            <w:r>
              <w:rPr>
                <w:rFonts w:ascii="Verdana" w:hAnsi="Verdana"/>
                <w:noProof/>
              </w:rPr>
              <w:t>T</w:t>
            </w:r>
            <w:r w:rsidR="00905EE1">
              <w:rPr>
                <w:rFonts w:ascii="Verdana" w:hAnsi="Verdana"/>
                <w:noProof/>
              </w:rPr>
              <w:t xml:space="preserve">he </w:t>
            </w:r>
            <w:r w:rsidR="00DE4AEF">
              <w:rPr>
                <w:rFonts w:ascii="Verdana" w:hAnsi="Verdana"/>
                <w:noProof/>
              </w:rPr>
              <w:t>‘</w:t>
            </w:r>
            <w:r w:rsidR="00765DBC">
              <w:rPr>
                <w:rFonts w:ascii="Verdana" w:hAnsi="Verdana"/>
                <w:noProof/>
              </w:rPr>
              <w:t>Send/Receive Information</w:t>
            </w:r>
            <w:r w:rsidR="00DE4AEF">
              <w:rPr>
                <w:rFonts w:ascii="Verdana" w:hAnsi="Verdana"/>
                <w:noProof/>
              </w:rPr>
              <w:t>’</w:t>
            </w:r>
            <w:r>
              <w:rPr>
                <w:rFonts w:ascii="Verdana" w:hAnsi="Verdana"/>
                <w:noProof/>
              </w:rPr>
              <w:t xml:space="preserve"> tile </w:t>
            </w:r>
            <w:r w:rsidR="00765DBC">
              <w:rPr>
                <w:rFonts w:ascii="Verdana" w:hAnsi="Verdana"/>
                <w:noProof/>
              </w:rPr>
              <w:t>is used to process interface transactions and to approve and review financial and physical asset transactions.</w:t>
            </w:r>
          </w:p>
          <w:p w14:paraId="293E27C0" w14:textId="77777777" w:rsidR="00E84529" w:rsidRDefault="00E84529" w:rsidP="00800551">
            <w:pPr>
              <w:rPr>
                <w:rFonts w:ascii="Verdana" w:hAnsi="Verdana"/>
                <w:noProof/>
              </w:rPr>
            </w:pPr>
          </w:p>
          <w:p w14:paraId="7D0754C8" w14:textId="592E41C4" w:rsidR="0054605F" w:rsidRDefault="00765DBC" w:rsidP="00674FAC">
            <w:pPr>
              <w:jc w:val="center"/>
              <w:rPr>
                <w:noProof/>
              </w:rPr>
            </w:pPr>
            <w:r>
              <w:rPr>
                <w:noProof/>
              </w:rPr>
              <w:drawing>
                <wp:inline distT="0" distB="0" distL="0" distR="0" wp14:anchorId="45062826" wp14:editId="13165C5A">
                  <wp:extent cx="1821484" cy="1426714"/>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7558" cy="1447137"/>
                          </a:xfrm>
                          <a:prstGeom prst="rect">
                            <a:avLst/>
                          </a:prstGeom>
                        </pic:spPr>
                      </pic:pic>
                    </a:graphicData>
                  </a:graphic>
                </wp:inline>
              </w:drawing>
            </w:r>
            <w:r w:rsidR="006949A1">
              <w:rPr>
                <w:noProof/>
              </w:rPr>
              <w:t xml:space="preserve"> </w:t>
            </w:r>
          </w:p>
          <w:p w14:paraId="72AD62A9" w14:textId="77777777" w:rsidR="006949A1" w:rsidRDefault="006949A1" w:rsidP="00674FAC">
            <w:pPr>
              <w:jc w:val="center"/>
              <w:rPr>
                <w:noProof/>
              </w:rPr>
            </w:pPr>
          </w:p>
          <w:p w14:paraId="00D07E6F" w14:textId="3F38C2FF" w:rsidR="00E84529" w:rsidRDefault="0054605F" w:rsidP="00674FAC">
            <w:pPr>
              <w:jc w:val="center"/>
              <w:rPr>
                <w:rFonts w:ascii="Verdana" w:hAnsi="Verdana"/>
                <w:noProof/>
              </w:rPr>
            </w:pPr>
            <w:r>
              <w:rPr>
                <w:noProof/>
              </w:rPr>
              <w:drawing>
                <wp:inline distT="0" distB="0" distL="0" distR="0" wp14:anchorId="11073170" wp14:editId="4E416E7E">
                  <wp:extent cx="1806854" cy="4656373"/>
                  <wp:effectExtent l="19050" t="19050" r="2222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50241" cy="4768183"/>
                          </a:xfrm>
                          <a:prstGeom prst="rect">
                            <a:avLst/>
                          </a:prstGeom>
                          <a:ln>
                            <a:solidFill>
                              <a:schemeClr val="accent1"/>
                            </a:solidFill>
                          </a:ln>
                        </pic:spPr>
                      </pic:pic>
                    </a:graphicData>
                  </a:graphic>
                </wp:inline>
              </w:drawing>
            </w:r>
          </w:p>
          <w:p w14:paraId="7F9D87B3" w14:textId="596BE0C7" w:rsidR="0054605F" w:rsidRDefault="0054605F" w:rsidP="00674FAC">
            <w:pPr>
              <w:jc w:val="center"/>
              <w:rPr>
                <w:rFonts w:ascii="Verdana" w:hAnsi="Verdana"/>
                <w:noProof/>
              </w:rPr>
            </w:pPr>
          </w:p>
          <w:p w14:paraId="1A9B0AC9" w14:textId="48F9885A" w:rsidR="0054605F" w:rsidRDefault="0054605F" w:rsidP="00674FAC">
            <w:pPr>
              <w:jc w:val="center"/>
              <w:rPr>
                <w:rFonts w:ascii="Verdana" w:hAnsi="Verdana"/>
                <w:noProof/>
              </w:rPr>
            </w:pPr>
          </w:p>
          <w:p w14:paraId="27F0BB8A" w14:textId="5957649D" w:rsidR="0054605F" w:rsidRDefault="0054605F" w:rsidP="00674FAC">
            <w:pPr>
              <w:jc w:val="center"/>
              <w:rPr>
                <w:rFonts w:ascii="Verdana" w:hAnsi="Verdana"/>
                <w:noProof/>
              </w:rPr>
            </w:pPr>
          </w:p>
          <w:p w14:paraId="08BBBFD1" w14:textId="77777777" w:rsidR="0054605F" w:rsidRDefault="0054605F" w:rsidP="00674FAC">
            <w:pPr>
              <w:jc w:val="center"/>
              <w:rPr>
                <w:rFonts w:ascii="Verdana" w:hAnsi="Verdana"/>
                <w:noProof/>
              </w:rPr>
            </w:pPr>
          </w:p>
          <w:p w14:paraId="7D990615" w14:textId="77777777" w:rsidR="0054605F" w:rsidRDefault="0054605F" w:rsidP="00674FAC">
            <w:pPr>
              <w:jc w:val="center"/>
              <w:rPr>
                <w:rFonts w:ascii="Verdana" w:hAnsi="Verdana"/>
                <w:noProof/>
              </w:rPr>
            </w:pPr>
          </w:p>
          <w:p w14:paraId="1558608A" w14:textId="7A7C3CA9" w:rsidR="00B32370" w:rsidRDefault="00B32370" w:rsidP="00674FAC">
            <w:pPr>
              <w:jc w:val="center"/>
              <w:rPr>
                <w:rFonts w:ascii="Verdana" w:hAnsi="Verdana"/>
                <w:noProof/>
              </w:rPr>
            </w:pPr>
          </w:p>
          <w:p w14:paraId="0B3017E2" w14:textId="5F91DABE" w:rsidR="00B32370" w:rsidRDefault="00B32370" w:rsidP="00674FAC">
            <w:pPr>
              <w:jc w:val="center"/>
              <w:rPr>
                <w:rFonts w:ascii="Verdana" w:hAnsi="Verdana"/>
                <w:noProof/>
              </w:rPr>
            </w:pPr>
          </w:p>
          <w:p w14:paraId="21194883" w14:textId="5087B250" w:rsidR="00E84529" w:rsidRPr="00E84529" w:rsidRDefault="00E84529" w:rsidP="00800551">
            <w:pPr>
              <w:rPr>
                <w:rFonts w:ascii="Verdana" w:hAnsi="Verdana"/>
                <w:noProof/>
              </w:rPr>
            </w:pPr>
          </w:p>
        </w:tc>
      </w:tr>
      <w:tr w:rsidR="00E84529" w:rsidRPr="00161D65" w14:paraId="4CD0FA3E" w14:textId="77777777" w:rsidTr="00161D65">
        <w:tc>
          <w:tcPr>
            <w:tcW w:w="3330" w:type="dxa"/>
          </w:tcPr>
          <w:p w14:paraId="07A0015E" w14:textId="29033624" w:rsidR="00E84529" w:rsidRPr="00A260B4" w:rsidRDefault="0054605F" w:rsidP="00C77DAD">
            <w:pPr>
              <w:rPr>
                <w:rFonts w:ascii="Verdana" w:hAnsi="Verdana"/>
                <w:b/>
                <w:noProof/>
              </w:rPr>
            </w:pPr>
            <w:r>
              <w:rPr>
                <w:rFonts w:ascii="Verdana" w:hAnsi="Verdana"/>
                <w:b/>
                <w:noProof/>
              </w:rPr>
              <w:lastRenderedPageBreak/>
              <w:t>Asset Management WorkCenter</w:t>
            </w:r>
          </w:p>
        </w:tc>
        <w:tc>
          <w:tcPr>
            <w:tcW w:w="7128" w:type="dxa"/>
          </w:tcPr>
          <w:p w14:paraId="59F5180A" w14:textId="2582F290" w:rsidR="00E84529" w:rsidRDefault="00467549" w:rsidP="00800551">
            <w:pPr>
              <w:rPr>
                <w:rFonts w:ascii="Verdana" w:hAnsi="Verdana"/>
                <w:noProof/>
              </w:rPr>
            </w:pPr>
            <w:r>
              <w:rPr>
                <w:rFonts w:ascii="Verdana" w:hAnsi="Verdana"/>
                <w:noProof/>
              </w:rPr>
              <w:t>Th</w:t>
            </w:r>
            <w:r w:rsidR="002240F9">
              <w:rPr>
                <w:rFonts w:ascii="Verdana" w:hAnsi="Verdana"/>
                <w:noProof/>
              </w:rPr>
              <w:t xml:space="preserve">e </w:t>
            </w:r>
            <w:r w:rsidR="0071449A">
              <w:rPr>
                <w:rFonts w:ascii="Verdana" w:hAnsi="Verdana"/>
                <w:noProof/>
              </w:rPr>
              <w:t>‘</w:t>
            </w:r>
            <w:r w:rsidR="0054605F">
              <w:rPr>
                <w:rFonts w:ascii="Verdana" w:hAnsi="Verdana"/>
                <w:noProof/>
              </w:rPr>
              <w:t>Asset Management WorkCenter</w:t>
            </w:r>
            <w:r w:rsidR="0071449A">
              <w:rPr>
                <w:rFonts w:ascii="Verdana" w:hAnsi="Verdana"/>
                <w:noProof/>
              </w:rPr>
              <w:t>’</w:t>
            </w:r>
            <w:r>
              <w:rPr>
                <w:rFonts w:ascii="Verdana" w:hAnsi="Verdana"/>
                <w:noProof/>
              </w:rPr>
              <w:t xml:space="preserve"> tile </w:t>
            </w:r>
            <w:r w:rsidR="0054605F">
              <w:rPr>
                <w:rFonts w:ascii="Verdana" w:hAnsi="Verdana"/>
                <w:noProof/>
              </w:rPr>
              <w:t>is a direct link to the Asset Management WorkCenter.</w:t>
            </w:r>
          </w:p>
          <w:p w14:paraId="0D14DC3C" w14:textId="77777777" w:rsidR="00467549" w:rsidRDefault="00467549" w:rsidP="00800551">
            <w:pPr>
              <w:rPr>
                <w:rFonts w:ascii="Verdana" w:hAnsi="Verdana"/>
                <w:noProof/>
              </w:rPr>
            </w:pPr>
          </w:p>
          <w:p w14:paraId="7BF9C1DB" w14:textId="6ABEE3D5" w:rsidR="00467549" w:rsidRDefault="0054605F" w:rsidP="00674FAC">
            <w:pPr>
              <w:jc w:val="center"/>
              <w:rPr>
                <w:rFonts w:ascii="Verdana" w:hAnsi="Verdana"/>
                <w:noProof/>
              </w:rPr>
            </w:pPr>
            <w:r>
              <w:rPr>
                <w:noProof/>
              </w:rPr>
              <w:drawing>
                <wp:inline distT="0" distB="0" distL="0" distR="0" wp14:anchorId="056936A8" wp14:editId="305F6248">
                  <wp:extent cx="2040941" cy="1654817"/>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57156" cy="1667965"/>
                          </a:xfrm>
                          <a:prstGeom prst="rect">
                            <a:avLst/>
                          </a:prstGeom>
                        </pic:spPr>
                      </pic:pic>
                    </a:graphicData>
                  </a:graphic>
                </wp:inline>
              </w:drawing>
            </w:r>
          </w:p>
          <w:p w14:paraId="38375FF6" w14:textId="77777777" w:rsidR="0054605F" w:rsidRDefault="0054605F" w:rsidP="00674FAC">
            <w:pPr>
              <w:jc w:val="center"/>
              <w:rPr>
                <w:rFonts w:ascii="Verdana" w:hAnsi="Verdana"/>
                <w:noProof/>
              </w:rPr>
            </w:pPr>
          </w:p>
          <w:p w14:paraId="0CDC9580" w14:textId="64BE3CD9" w:rsidR="00B32370" w:rsidRDefault="0054605F" w:rsidP="00674FAC">
            <w:pPr>
              <w:jc w:val="center"/>
              <w:rPr>
                <w:rFonts w:ascii="Verdana" w:hAnsi="Verdana"/>
                <w:noProof/>
              </w:rPr>
            </w:pPr>
            <w:r>
              <w:rPr>
                <w:noProof/>
              </w:rPr>
              <w:drawing>
                <wp:inline distT="0" distB="0" distL="0" distR="0" wp14:anchorId="71314E1C" wp14:editId="18435920">
                  <wp:extent cx="1975671" cy="5705856"/>
                  <wp:effectExtent l="19050" t="19050" r="2476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51179" cy="5923928"/>
                          </a:xfrm>
                          <a:prstGeom prst="rect">
                            <a:avLst/>
                          </a:prstGeom>
                          <a:ln>
                            <a:solidFill>
                              <a:schemeClr val="accent1"/>
                            </a:solidFill>
                          </a:ln>
                        </pic:spPr>
                      </pic:pic>
                    </a:graphicData>
                  </a:graphic>
                </wp:inline>
              </w:drawing>
            </w:r>
          </w:p>
          <w:p w14:paraId="2426932B" w14:textId="2BA04DD0" w:rsidR="00B32370" w:rsidRDefault="00B32370" w:rsidP="00674FAC">
            <w:pPr>
              <w:jc w:val="center"/>
              <w:rPr>
                <w:rFonts w:ascii="Verdana" w:hAnsi="Verdana"/>
                <w:noProof/>
              </w:rPr>
            </w:pPr>
          </w:p>
          <w:p w14:paraId="16E89A11" w14:textId="77777777" w:rsidR="00075D8E" w:rsidRDefault="00075D8E" w:rsidP="00674FAC">
            <w:pPr>
              <w:jc w:val="center"/>
              <w:rPr>
                <w:rFonts w:ascii="Verdana" w:hAnsi="Verdana"/>
                <w:noProof/>
              </w:rPr>
            </w:pPr>
          </w:p>
          <w:p w14:paraId="206138E9" w14:textId="7451AA28" w:rsidR="00467549" w:rsidRPr="00467549" w:rsidRDefault="00467549" w:rsidP="00800551">
            <w:pPr>
              <w:rPr>
                <w:rFonts w:ascii="Verdana" w:hAnsi="Verdana"/>
                <w:noProof/>
              </w:rPr>
            </w:pPr>
          </w:p>
        </w:tc>
      </w:tr>
      <w:tr w:rsidR="00E84529" w:rsidRPr="00161D65" w14:paraId="2598F38F" w14:textId="77777777" w:rsidTr="00161D65">
        <w:tc>
          <w:tcPr>
            <w:tcW w:w="3330" w:type="dxa"/>
          </w:tcPr>
          <w:p w14:paraId="1B7C7D5C" w14:textId="2084A33E" w:rsidR="00E84529" w:rsidRPr="00A260B4" w:rsidRDefault="0054605F" w:rsidP="00C77DAD">
            <w:pPr>
              <w:rPr>
                <w:rFonts w:ascii="Verdana" w:hAnsi="Verdana"/>
                <w:b/>
                <w:noProof/>
              </w:rPr>
            </w:pPr>
            <w:r>
              <w:rPr>
                <w:rFonts w:ascii="Verdana" w:hAnsi="Verdana"/>
                <w:b/>
                <w:noProof/>
              </w:rPr>
              <w:lastRenderedPageBreak/>
              <w:t>Asset Management Reports</w:t>
            </w:r>
          </w:p>
        </w:tc>
        <w:tc>
          <w:tcPr>
            <w:tcW w:w="7128" w:type="dxa"/>
          </w:tcPr>
          <w:p w14:paraId="5FCA21E1" w14:textId="4E421C0B" w:rsidR="00BC52B2" w:rsidRDefault="00467549" w:rsidP="00800551">
            <w:pPr>
              <w:rPr>
                <w:rFonts w:ascii="Verdana" w:hAnsi="Verdana"/>
                <w:noProof/>
              </w:rPr>
            </w:pPr>
            <w:r>
              <w:rPr>
                <w:rFonts w:ascii="Verdana" w:hAnsi="Verdana"/>
                <w:noProof/>
              </w:rPr>
              <w:t>Th</w:t>
            </w:r>
            <w:r w:rsidR="00895CB7">
              <w:rPr>
                <w:rFonts w:ascii="Verdana" w:hAnsi="Verdana"/>
                <w:noProof/>
              </w:rPr>
              <w:t>e ‘</w:t>
            </w:r>
            <w:r w:rsidR="0054605F">
              <w:rPr>
                <w:rFonts w:ascii="Verdana" w:hAnsi="Verdana"/>
                <w:noProof/>
              </w:rPr>
              <w:t>Asset Management Reports</w:t>
            </w:r>
            <w:r w:rsidR="00895CB7">
              <w:rPr>
                <w:rFonts w:ascii="Verdana" w:hAnsi="Verdana"/>
                <w:noProof/>
              </w:rPr>
              <w:t xml:space="preserve">’ tile includes pages </w:t>
            </w:r>
            <w:r w:rsidR="00AE37AF">
              <w:rPr>
                <w:rFonts w:ascii="Verdana" w:hAnsi="Verdana"/>
                <w:noProof/>
              </w:rPr>
              <w:t xml:space="preserve">used to </w:t>
            </w:r>
            <w:r w:rsidR="0054605F">
              <w:rPr>
                <w:rFonts w:ascii="Verdana" w:hAnsi="Verdana"/>
                <w:noProof/>
              </w:rPr>
              <w:t>run Cost Activity, Depreciation Activity, Asset Net Book Value and Retirement Activity reports</w:t>
            </w:r>
            <w:r w:rsidR="00BC52B2">
              <w:rPr>
                <w:rFonts w:ascii="Verdana" w:hAnsi="Verdana"/>
                <w:noProof/>
              </w:rPr>
              <w:t>.</w:t>
            </w:r>
          </w:p>
          <w:p w14:paraId="2F0F8B1D" w14:textId="77777777" w:rsidR="00574D6E" w:rsidRDefault="00574D6E" w:rsidP="00800551">
            <w:pPr>
              <w:rPr>
                <w:rFonts w:ascii="Verdana" w:hAnsi="Verdana"/>
                <w:noProof/>
              </w:rPr>
            </w:pPr>
          </w:p>
          <w:p w14:paraId="7DB643C7" w14:textId="4F380431" w:rsidR="00574D6E" w:rsidRDefault="0054605F" w:rsidP="00674FAC">
            <w:pPr>
              <w:jc w:val="center"/>
              <w:rPr>
                <w:noProof/>
              </w:rPr>
            </w:pPr>
            <w:r>
              <w:rPr>
                <w:noProof/>
              </w:rPr>
              <w:drawing>
                <wp:inline distT="0" distB="0" distL="0" distR="0" wp14:anchorId="0B868A97" wp14:editId="036581D9">
                  <wp:extent cx="2031187" cy="1631223"/>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47306" cy="1644168"/>
                          </a:xfrm>
                          <a:prstGeom prst="rect">
                            <a:avLst/>
                          </a:prstGeom>
                        </pic:spPr>
                      </pic:pic>
                    </a:graphicData>
                  </a:graphic>
                </wp:inline>
              </w:drawing>
            </w:r>
            <w:r w:rsidR="00DB52FB">
              <w:rPr>
                <w:noProof/>
              </w:rPr>
              <w:t xml:space="preserve"> </w:t>
            </w:r>
          </w:p>
          <w:p w14:paraId="1FEE8379" w14:textId="77777777" w:rsidR="00E22BF8" w:rsidRDefault="00E22BF8" w:rsidP="00674FAC">
            <w:pPr>
              <w:jc w:val="center"/>
              <w:rPr>
                <w:noProof/>
              </w:rPr>
            </w:pPr>
          </w:p>
          <w:p w14:paraId="073F0753" w14:textId="79B9215E" w:rsidR="00B23587" w:rsidRDefault="0054605F" w:rsidP="00674FAC">
            <w:pPr>
              <w:jc w:val="center"/>
              <w:rPr>
                <w:rFonts w:ascii="Verdana" w:hAnsi="Verdana"/>
                <w:noProof/>
              </w:rPr>
            </w:pPr>
            <w:r>
              <w:rPr>
                <w:noProof/>
              </w:rPr>
              <w:drawing>
                <wp:inline distT="0" distB="0" distL="0" distR="0" wp14:anchorId="771B163F" wp14:editId="40BDDF9B">
                  <wp:extent cx="1872692" cy="1508987"/>
                  <wp:effectExtent l="19050" t="19050" r="13335"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91792" cy="1524377"/>
                          </a:xfrm>
                          <a:prstGeom prst="rect">
                            <a:avLst/>
                          </a:prstGeom>
                          <a:ln>
                            <a:solidFill>
                              <a:schemeClr val="accent1"/>
                            </a:solidFill>
                          </a:ln>
                        </pic:spPr>
                      </pic:pic>
                    </a:graphicData>
                  </a:graphic>
                </wp:inline>
              </w:drawing>
            </w:r>
            <w:r w:rsidR="00574D6E">
              <w:rPr>
                <w:noProof/>
              </w:rPr>
              <w:t xml:space="preserve"> </w:t>
            </w:r>
          </w:p>
          <w:p w14:paraId="11E1FC4E" w14:textId="4DC3C89C" w:rsidR="00467549" w:rsidRPr="00295099" w:rsidRDefault="00467549" w:rsidP="00800551">
            <w:pPr>
              <w:rPr>
                <w:rFonts w:ascii="Verdana" w:hAnsi="Verdana"/>
                <w:noProof/>
              </w:rPr>
            </w:pPr>
          </w:p>
        </w:tc>
      </w:tr>
      <w:tr w:rsidR="00E84529" w:rsidRPr="00161D65" w14:paraId="5DAE33C7" w14:textId="77777777" w:rsidTr="00161D65">
        <w:tc>
          <w:tcPr>
            <w:tcW w:w="3330" w:type="dxa"/>
          </w:tcPr>
          <w:p w14:paraId="1ADC14E1" w14:textId="0380ACFE" w:rsidR="00E84529" w:rsidRPr="00A260B4" w:rsidRDefault="003D474E" w:rsidP="00C77DAD">
            <w:pPr>
              <w:rPr>
                <w:rFonts w:ascii="Verdana" w:hAnsi="Verdana"/>
                <w:b/>
                <w:noProof/>
              </w:rPr>
            </w:pPr>
            <w:r>
              <w:br w:type="page"/>
            </w:r>
            <w:r w:rsidR="00F476A2">
              <w:rPr>
                <w:rFonts w:ascii="Verdana" w:hAnsi="Verdana"/>
                <w:b/>
                <w:noProof/>
              </w:rPr>
              <w:t>Utilities</w:t>
            </w:r>
          </w:p>
        </w:tc>
        <w:tc>
          <w:tcPr>
            <w:tcW w:w="7128" w:type="dxa"/>
          </w:tcPr>
          <w:p w14:paraId="5C338137" w14:textId="1797178E" w:rsidR="00F476A2" w:rsidRDefault="00F476A2" w:rsidP="00F476A2">
            <w:pPr>
              <w:rPr>
                <w:rFonts w:ascii="Verdana" w:hAnsi="Verdana"/>
                <w:noProof/>
              </w:rPr>
            </w:pPr>
            <w:r>
              <w:rPr>
                <w:rFonts w:ascii="Verdana" w:hAnsi="Verdana"/>
                <w:noProof/>
              </w:rPr>
              <w:t xml:space="preserve">The ‘Utilities’ tile includes Process Monitor, Query Manager, </w:t>
            </w:r>
            <w:r w:rsidR="00EE6C62">
              <w:rPr>
                <w:rFonts w:ascii="Verdana" w:hAnsi="Verdana"/>
                <w:noProof/>
              </w:rPr>
              <w:t xml:space="preserve">Query Viewer, </w:t>
            </w:r>
            <w:r>
              <w:rPr>
                <w:rFonts w:ascii="Verdana" w:hAnsi="Verdana"/>
                <w:noProof/>
              </w:rPr>
              <w:t>Schedule Query, Report Manager, Worklist and Define Report Request.</w:t>
            </w:r>
          </w:p>
          <w:p w14:paraId="3EF0F5DE" w14:textId="77777777" w:rsidR="00F476A2" w:rsidRDefault="00F476A2" w:rsidP="00F476A2">
            <w:pPr>
              <w:rPr>
                <w:rFonts w:ascii="Verdana" w:hAnsi="Verdana"/>
                <w:noProof/>
              </w:rPr>
            </w:pPr>
          </w:p>
          <w:p w14:paraId="3D152C27" w14:textId="77777777" w:rsidR="00F476A2" w:rsidRDefault="00F476A2" w:rsidP="00F476A2">
            <w:pPr>
              <w:jc w:val="center"/>
              <w:rPr>
                <w:noProof/>
              </w:rPr>
            </w:pPr>
            <w:r>
              <w:rPr>
                <w:noProof/>
              </w:rPr>
              <w:drawing>
                <wp:inline distT="0" distB="0" distL="0" distR="0" wp14:anchorId="1F68768B" wp14:editId="77BA0C0C">
                  <wp:extent cx="1858061" cy="1470666"/>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3116" cy="1553818"/>
                          </a:xfrm>
                          <a:prstGeom prst="rect">
                            <a:avLst/>
                          </a:prstGeom>
                        </pic:spPr>
                      </pic:pic>
                    </a:graphicData>
                  </a:graphic>
                </wp:inline>
              </w:drawing>
            </w:r>
            <w:r>
              <w:rPr>
                <w:noProof/>
              </w:rPr>
              <w:t xml:space="preserve"> </w:t>
            </w:r>
          </w:p>
          <w:p w14:paraId="704B9A39" w14:textId="77777777" w:rsidR="00F476A2" w:rsidRDefault="00F476A2" w:rsidP="00F476A2">
            <w:pPr>
              <w:jc w:val="center"/>
              <w:rPr>
                <w:noProof/>
              </w:rPr>
            </w:pPr>
          </w:p>
          <w:p w14:paraId="3ABA1E1B" w14:textId="76747BBB" w:rsidR="00B23587" w:rsidRDefault="00F3544F" w:rsidP="00674FAC">
            <w:pPr>
              <w:jc w:val="center"/>
              <w:rPr>
                <w:rFonts w:ascii="Verdana" w:hAnsi="Verdana"/>
                <w:noProof/>
              </w:rPr>
            </w:pPr>
            <w:r>
              <w:rPr>
                <w:noProof/>
              </w:rPr>
              <w:drawing>
                <wp:inline distT="0" distB="0" distL="0" distR="0" wp14:anchorId="607F83AF" wp14:editId="6ECE8FAE">
                  <wp:extent cx="1294791" cy="1837945"/>
                  <wp:effectExtent l="19050" t="19050" r="19685"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02956" cy="1849535"/>
                          </a:xfrm>
                          <a:prstGeom prst="rect">
                            <a:avLst/>
                          </a:prstGeom>
                          <a:ln>
                            <a:solidFill>
                              <a:schemeClr val="accent1"/>
                            </a:solidFill>
                          </a:ln>
                        </pic:spPr>
                      </pic:pic>
                    </a:graphicData>
                  </a:graphic>
                </wp:inline>
              </w:drawing>
            </w:r>
          </w:p>
          <w:p w14:paraId="0819B7D6" w14:textId="1650A965" w:rsidR="00074AC1" w:rsidRPr="00295099" w:rsidRDefault="00074AC1" w:rsidP="0097484B">
            <w:pPr>
              <w:jc w:val="center"/>
              <w:rPr>
                <w:rFonts w:ascii="Verdana" w:hAnsi="Verdana"/>
                <w:noProof/>
              </w:rPr>
            </w:pPr>
          </w:p>
        </w:tc>
      </w:tr>
      <w:tr w:rsidR="006015EF" w:rsidRPr="00161D65" w14:paraId="299C8478" w14:textId="77777777" w:rsidTr="00161D65">
        <w:tc>
          <w:tcPr>
            <w:tcW w:w="3330" w:type="dxa"/>
          </w:tcPr>
          <w:p w14:paraId="3CB5165B" w14:textId="2823F148" w:rsidR="006015EF" w:rsidRDefault="00F3544F" w:rsidP="00C77DAD">
            <w:r w:rsidRPr="00F3544F">
              <w:rPr>
                <w:rFonts w:ascii="Verdana" w:hAnsi="Verdana"/>
                <w:b/>
                <w:noProof/>
              </w:rPr>
              <w:lastRenderedPageBreak/>
              <w:t>Appendix A</w:t>
            </w:r>
          </w:p>
        </w:tc>
        <w:tc>
          <w:tcPr>
            <w:tcW w:w="7128" w:type="dxa"/>
          </w:tcPr>
          <w:p w14:paraId="0D5C49A2" w14:textId="1094D2BB" w:rsidR="006015EF" w:rsidRDefault="00313140" w:rsidP="00F476A2">
            <w:pPr>
              <w:rPr>
                <w:rFonts w:ascii="Verdana" w:hAnsi="Verdana"/>
                <w:noProof/>
              </w:rPr>
            </w:pPr>
            <w:r>
              <w:rPr>
                <w:rFonts w:ascii="Verdana" w:hAnsi="Verdana"/>
                <w:noProof/>
              </w:rPr>
              <w:t xml:space="preserve">Below is </w:t>
            </w:r>
            <w:r w:rsidR="008E7D9E">
              <w:rPr>
                <w:rFonts w:ascii="Verdana" w:hAnsi="Verdana"/>
                <w:noProof/>
              </w:rPr>
              <w:t xml:space="preserve">a cross-walk to show the old Classic navigation path vs. the new homepage navigation for pages that are now accessible via the Asset Management homepage. The old path can still be accessed using the NavBar &gt; Navigator in the upper-right corner of the top banner. </w:t>
            </w:r>
            <w:bookmarkStart w:id="0" w:name="_GoBack"/>
            <w:bookmarkEnd w:id="0"/>
          </w:p>
          <w:p w14:paraId="7AC85D83" w14:textId="77777777" w:rsidR="00313140" w:rsidRDefault="00313140" w:rsidP="00F476A2">
            <w:pPr>
              <w:rPr>
                <w:rFonts w:ascii="Verdana" w:hAnsi="Verdana"/>
                <w:noProof/>
              </w:rPr>
            </w:pPr>
          </w:p>
          <w:p w14:paraId="09A59AB6" w14:textId="38112F87" w:rsidR="00F3544F" w:rsidRDefault="00F3544F" w:rsidP="00F476A2">
            <w:pPr>
              <w:rPr>
                <w:rFonts w:ascii="Verdana" w:hAnsi="Verdana"/>
                <w:noProof/>
              </w:rPr>
            </w:pPr>
            <w:r>
              <w:rPr>
                <w:noProof/>
              </w:rPr>
              <w:drawing>
                <wp:inline distT="0" distB="0" distL="0" distR="0" wp14:anchorId="06590D23" wp14:editId="2159A8F2">
                  <wp:extent cx="4389120" cy="43573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89120" cy="4357370"/>
                          </a:xfrm>
                          <a:prstGeom prst="rect">
                            <a:avLst/>
                          </a:prstGeom>
                        </pic:spPr>
                      </pic:pic>
                    </a:graphicData>
                  </a:graphic>
                </wp:inline>
              </w:drawing>
            </w:r>
          </w:p>
          <w:p w14:paraId="22A4BFE9" w14:textId="3A71933A" w:rsidR="00F3544F" w:rsidRDefault="00F3544F" w:rsidP="00F476A2">
            <w:pPr>
              <w:rPr>
                <w:rFonts w:ascii="Verdana" w:hAnsi="Verdana"/>
                <w:noProof/>
              </w:rPr>
            </w:pPr>
            <w:r>
              <w:rPr>
                <w:noProof/>
              </w:rPr>
              <w:drawing>
                <wp:inline distT="0" distB="0" distL="0" distR="0" wp14:anchorId="3229F6EE" wp14:editId="2779397B">
                  <wp:extent cx="4337914" cy="2239010"/>
                  <wp:effectExtent l="0" t="0" r="571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166"/>
                          <a:stretch/>
                        </pic:blipFill>
                        <pic:spPr bwMode="auto">
                          <a:xfrm>
                            <a:off x="0" y="0"/>
                            <a:ext cx="4337914" cy="2239010"/>
                          </a:xfrm>
                          <a:prstGeom prst="rect">
                            <a:avLst/>
                          </a:prstGeom>
                          <a:ln>
                            <a:noFill/>
                          </a:ln>
                          <a:extLst>
                            <a:ext uri="{53640926-AAD7-44D8-BBD7-CCE9431645EC}">
                              <a14:shadowObscured xmlns:a14="http://schemas.microsoft.com/office/drawing/2010/main"/>
                            </a:ext>
                          </a:extLst>
                        </pic:spPr>
                      </pic:pic>
                    </a:graphicData>
                  </a:graphic>
                </wp:inline>
              </w:drawing>
            </w:r>
          </w:p>
          <w:p w14:paraId="50AA549C" w14:textId="77777777" w:rsidR="00F3544F" w:rsidRDefault="00F3544F" w:rsidP="00F476A2">
            <w:pPr>
              <w:rPr>
                <w:rFonts w:ascii="Verdana" w:hAnsi="Verdana"/>
                <w:noProof/>
              </w:rPr>
            </w:pPr>
          </w:p>
          <w:p w14:paraId="0A278817" w14:textId="4665F665" w:rsidR="00F3544F" w:rsidRDefault="00F3544F" w:rsidP="00F476A2">
            <w:pPr>
              <w:rPr>
                <w:rFonts w:ascii="Verdana" w:hAnsi="Verdana"/>
                <w:noProof/>
              </w:rPr>
            </w:pPr>
          </w:p>
        </w:tc>
      </w:tr>
    </w:tbl>
    <w:p w14:paraId="18AD2A41" w14:textId="5EBF85C4" w:rsidR="00D35629" w:rsidRDefault="00D35629" w:rsidP="003D474E">
      <w:pPr>
        <w:rPr>
          <w:rFonts w:ascii="Calibri" w:hAnsi="Calibri"/>
        </w:rPr>
      </w:pPr>
    </w:p>
    <w:sectPr w:rsidR="00D35629" w:rsidSect="00800E42">
      <w:footerReference w:type="default" r:id="rId2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24DE" w14:textId="77777777" w:rsidR="00CC6B74" w:rsidRDefault="00CC6B74" w:rsidP="00996C68">
      <w:r>
        <w:separator/>
      </w:r>
    </w:p>
  </w:endnote>
  <w:endnote w:type="continuationSeparator" w:id="0">
    <w:p w14:paraId="31FBAA9D" w14:textId="77777777" w:rsidR="00CC6B74" w:rsidRDefault="00CC6B74"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194B"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p>
  <w:p w14:paraId="05AE0F77"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B0BD" w14:textId="77777777" w:rsidR="00CC6B74" w:rsidRDefault="00CC6B74" w:rsidP="00996C68">
      <w:r>
        <w:separator/>
      </w:r>
    </w:p>
  </w:footnote>
  <w:footnote w:type="continuationSeparator" w:id="0">
    <w:p w14:paraId="714243F7" w14:textId="77777777" w:rsidR="00CC6B74" w:rsidRDefault="00CC6B74"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5715"/>
    <w:multiLevelType w:val="hybridMultilevel"/>
    <w:tmpl w:val="EBA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11"/>
  </w:num>
  <w:num w:numId="7">
    <w:abstractNumId w:val="1"/>
  </w:num>
  <w:num w:numId="8">
    <w:abstractNumId w:val="12"/>
  </w:num>
  <w:num w:numId="9">
    <w:abstractNumId w:val="13"/>
  </w:num>
  <w:num w:numId="10">
    <w:abstractNumId w:val="9"/>
  </w:num>
  <w:num w:numId="11">
    <w:abstractNumId w:val="4"/>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15E9"/>
    <w:rsid w:val="0001117E"/>
    <w:rsid w:val="0001126C"/>
    <w:rsid w:val="00017D76"/>
    <w:rsid w:val="000202B3"/>
    <w:rsid w:val="00031167"/>
    <w:rsid w:val="00037422"/>
    <w:rsid w:val="00046D31"/>
    <w:rsid w:val="00051B98"/>
    <w:rsid w:val="0005441D"/>
    <w:rsid w:val="00065551"/>
    <w:rsid w:val="00067600"/>
    <w:rsid w:val="00071FEF"/>
    <w:rsid w:val="00074AC1"/>
    <w:rsid w:val="00075D8E"/>
    <w:rsid w:val="00076DE4"/>
    <w:rsid w:val="000819E9"/>
    <w:rsid w:val="00097987"/>
    <w:rsid w:val="000A40AE"/>
    <w:rsid w:val="000A4D3B"/>
    <w:rsid w:val="000A7AED"/>
    <w:rsid w:val="000B12F4"/>
    <w:rsid w:val="000B19FB"/>
    <w:rsid w:val="000B6616"/>
    <w:rsid w:val="000B70C4"/>
    <w:rsid w:val="000C4CA8"/>
    <w:rsid w:val="000D205E"/>
    <w:rsid w:val="000E4E7D"/>
    <w:rsid w:val="000E69AC"/>
    <w:rsid w:val="000E7D16"/>
    <w:rsid w:val="000F03C0"/>
    <w:rsid w:val="000F293F"/>
    <w:rsid w:val="000F3F4C"/>
    <w:rsid w:val="000F77D1"/>
    <w:rsid w:val="00111160"/>
    <w:rsid w:val="001251AD"/>
    <w:rsid w:val="00127BFC"/>
    <w:rsid w:val="00131B6F"/>
    <w:rsid w:val="001320A7"/>
    <w:rsid w:val="00136423"/>
    <w:rsid w:val="00144BF1"/>
    <w:rsid w:val="00145465"/>
    <w:rsid w:val="00150304"/>
    <w:rsid w:val="00157AB4"/>
    <w:rsid w:val="00157F39"/>
    <w:rsid w:val="0016169D"/>
    <w:rsid w:val="00161D65"/>
    <w:rsid w:val="00172C1D"/>
    <w:rsid w:val="001756C8"/>
    <w:rsid w:val="00177E60"/>
    <w:rsid w:val="0018004C"/>
    <w:rsid w:val="00181BB0"/>
    <w:rsid w:val="001954F6"/>
    <w:rsid w:val="00197B74"/>
    <w:rsid w:val="001A135E"/>
    <w:rsid w:val="001A6CF3"/>
    <w:rsid w:val="001B52C2"/>
    <w:rsid w:val="001B5C26"/>
    <w:rsid w:val="001C4A0F"/>
    <w:rsid w:val="001D4AD4"/>
    <w:rsid w:val="001E1893"/>
    <w:rsid w:val="001E6054"/>
    <w:rsid w:val="001E6A45"/>
    <w:rsid w:val="001E6AFC"/>
    <w:rsid w:val="001F055C"/>
    <w:rsid w:val="001F69A1"/>
    <w:rsid w:val="002031B8"/>
    <w:rsid w:val="00207507"/>
    <w:rsid w:val="00213DD4"/>
    <w:rsid w:val="002208EC"/>
    <w:rsid w:val="00222809"/>
    <w:rsid w:val="002240F9"/>
    <w:rsid w:val="00225257"/>
    <w:rsid w:val="002259E7"/>
    <w:rsid w:val="00233313"/>
    <w:rsid w:val="002375EF"/>
    <w:rsid w:val="002407E4"/>
    <w:rsid w:val="002436C1"/>
    <w:rsid w:val="00246CBA"/>
    <w:rsid w:val="00247619"/>
    <w:rsid w:val="0024780E"/>
    <w:rsid w:val="00252D20"/>
    <w:rsid w:val="00254DE3"/>
    <w:rsid w:val="0025693C"/>
    <w:rsid w:val="00261D44"/>
    <w:rsid w:val="00262D94"/>
    <w:rsid w:val="00263863"/>
    <w:rsid w:val="00265739"/>
    <w:rsid w:val="0027056D"/>
    <w:rsid w:val="00271391"/>
    <w:rsid w:val="00281ECC"/>
    <w:rsid w:val="00290E9D"/>
    <w:rsid w:val="00295099"/>
    <w:rsid w:val="00296F62"/>
    <w:rsid w:val="002B1D86"/>
    <w:rsid w:val="002B3891"/>
    <w:rsid w:val="002B4AB2"/>
    <w:rsid w:val="002D3E2F"/>
    <w:rsid w:val="002D72BB"/>
    <w:rsid w:val="002D7CCC"/>
    <w:rsid w:val="002E13D2"/>
    <w:rsid w:val="00305881"/>
    <w:rsid w:val="003064CA"/>
    <w:rsid w:val="00307D04"/>
    <w:rsid w:val="00310EBC"/>
    <w:rsid w:val="00312661"/>
    <w:rsid w:val="00313140"/>
    <w:rsid w:val="0033639B"/>
    <w:rsid w:val="00341BE7"/>
    <w:rsid w:val="00342FC1"/>
    <w:rsid w:val="00345821"/>
    <w:rsid w:val="00351DE4"/>
    <w:rsid w:val="003520A0"/>
    <w:rsid w:val="003549D3"/>
    <w:rsid w:val="003738F2"/>
    <w:rsid w:val="0038322F"/>
    <w:rsid w:val="0039653E"/>
    <w:rsid w:val="003A091C"/>
    <w:rsid w:val="003A37DE"/>
    <w:rsid w:val="003B0556"/>
    <w:rsid w:val="003B15D7"/>
    <w:rsid w:val="003B39E1"/>
    <w:rsid w:val="003C53AA"/>
    <w:rsid w:val="003D0C37"/>
    <w:rsid w:val="003D36F0"/>
    <w:rsid w:val="003D474E"/>
    <w:rsid w:val="003D73D2"/>
    <w:rsid w:val="003E2E95"/>
    <w:rsid w:val="003E3D48"/>
    <w:rsid w:val="003F2AA2"/>
    <w:rsid w:val="0040197F"/>
    <w:rsid w:val="004066B9"/>
    <w:rsid w:val="004128EE"/>
    <w:rsid w:val="00416575"/>
    <w:rsid w:val="00433233"/>
    <w:rsid w:val="00435AAF"/>
    <w:rsid w:val="004419DD"/>
    <w:rsid w:val="00442477"/>
    <w:rsid w:val="004443B6"/>
    <w:rsid w:val="0046475A"/>
    <w:rsid w:val="004649F4"/>
    <w:rsid w:val="00466533"/>
    <w:rsid w:val="00467549"/>
    <w:rsid w:val="004751E7"/>
    <w:rsid w:val="00477197"/>
    <w:rsid w:val="00477683"/>
    <w:rsid w:val="00477DAF"/>
    <w:rsid w:val="004847C7"/>
    <w:rsid w:val="00487D26"/>
    <w:rsid w:val="004906AB"/>
    <w:rsid w:val="00490AA0"/>
    <w:rsid w:val="0049585B"/>
    <w:rsid w:val="004A0B6D"/>
    <w:rsid w:val="004A43A5"/>
    <w:rsid w:val="004B11E6"/>
    <w:rsid w:val="004B59A4"/>
    <w:rsid w:val="004C084E"/>
    <w:rsid w:val="004C0BC4"/>
    <w:rsid w:val="004C7AB2"/>
    <w:rsid w:val="004C7C82"/>
    <w:rsid w:val="004E2570"/>
    <w:rsid w:val="004E60F1"/>
    <w:rsid w:val="004F338E"/>
    <w:rsid w:val="004F47B6"/>
    <w:rsid w:val="00520D68"/>
    <w:rsid w:val="00535F16"/>
    <w:rsid w:val="0054605F"/>
    <w:rsid w:val="005544A6"/>
    <w:rsid w:val="005559DD"/>
    <w:rsid w:val="005618A9"/>
    <w:rsid w:val="00561B13"/>
    <w:rsid w:val="00570411"/>
    <w:rsid w:val="00574D6E"/>
    <w:rsid w:val="00577CED"/>
    <w:rsid w:val="00582C70"/>
    <w:rsid w:val="00584192"/>
    <w:rsid w:val="00590691"/>
    <w:rsid w:val="00593F52"/>
    <w:rsid w:val="00595AC9"/>
    <w:rsid w:val="005A4BB8"/>
    <w:rsid w:val="005A65E5"/>
    <w:rsid w:val="005B6186"/>
    <w:rsid w:val="005B714B"/>
    <w:rsid w:val="005C201D"/>
    <w:rsid w:val="005C4C83"/>
    <w:rsid w:val="005C6EBC"/>
    <w:rsid w:val="005D168D"/>
    <w:rsid w:val="005D69D6"/>
    <w:rsid w:val="005E2CAF"/>
    <w:rsid w:val="005E3AB3"/>
    <w:rsid w:val="005E47B0"/>
    <w:rsid w:val="005F7B5A"/>
    <w:rsid w:val="006015EF"/>
    <w:rsid w:val="00601C44"/>
    <w:rsid w:val="00603B66"/>
    <w:rsid w:val="00606BC0"/>
    <w:rsid w:val="006075D3"/>
    <w:rsid w:val="006105D7"/>
    <w:rsid w:val="00611B4C"/>
    <w:rsid w:val="00624C1B"/>
    <w:rsid w:val="006320DC"/>
    <w:rsid w:val="006425B5"/>
    <w:rsid w:val="00652B29"/>
    <w:rsid w:val="00652D2D"/>
    <w:rsid w:val="00652F36"/>
    <w:rsid w:val="006574EC"/>
    <w:rsid w:val="00666680"/>
    <w:rsid w:val="00671862"/>
    <w:rsid w:val="00674FAC"/>
    <w:rsid w:val="00683CEE"/>
    <w:rsid w:val="006845C8"/>
    <w:rsid w:val="006949A1"/>
    <w:rsid w:val="00695B00"/>
    <w:rsid w:val="006A60FB"/>
    <w:rsid w:val="006B125E"/>
    <w:rsid w:val="006B33B3"/>
    <w:rsid w:val="006B429C"/>
    <w:rsid w:val="006C4A40"/>
    <w:rsid w:val="006C4BC2"/>
    <w:rsid w:val="006C6CD8"/>
    <w:rsid w:val="006C6F31"/>
    <w:rsid w:val="006D1E78"/>
    <w:rsid w:val="006D32C5"/>
    <w:rsid w:val="006E7F8A"/>
    <w:rsid w:val="006F03AB"/>
    <w:rsid w:val="00706D9D"/>
    <w:rsid w:val="007100D6"/>
    <w:rsid w:val="0071449A"/>
    <w:rsid w:val="007145A7"/>
    <w:rsid w:val="00717A7B"/>
    <w:rsid w:val="0072049B"/>
    <w:rsid w:val="0072641C"/>
    <w:rsid w:val="00731301"/>
    <w:rsid w:val="0073555F"/>
    <w:rsid w:val="007424DD"/>
    <w:rsid w:val="00746CB1"/>
    <w:rsid w:val="0075404C"/>
    <w:rsid w:val="007607AB"/>
    <w:rsid w:val="00761F63"/>
    <w:rsid w:val="00765DBC"/>
    <w:rsid w:val="00774744"/>
    <w:rsid w:val="00780F3B"/>
    <w:rsid w:val="00782E7E"/>
    <w:rsid w:val="0079661C"/>
    <w:rsid w:val="00796837"/>
    <w:rsid w:val="007A7E2A"/>
    <w:rsid w:val="007A7FF1"/>
    <w:rsid w:val="007B111E"/>
    <w:rsid w:val="007B17CB"/>
    <w:rsid w:val="007C00FC"/>
    <w:rsid w:val="007C7321"/>
    <w:rsid w:val="007E2674"/>
    <w:rsid w:val="007E38B9"/>
    <w:rsid w:val="007E3F0A"/>
    <w:rsid w:val="007E6960"/>
    <w:rsid w:val="007F3D2C"/>
    <w:rsid w:val="00800551"/>
    <w:rsid w:val="00800E42"/>
    <w:rsid w:val="0080359A"/>
    <w:rsid w:val="00806A57"/>
    <w:rsid w:val="00812A2C"/>
    <w:rsid w:val="008134C3"/>
    <w:rsid w:val="00817A2E"/>
    <w:rsid w:val="00820DC6"/>
    <w:rsid w:val="00835DD3"/>
    <w:rsid w:val="00842159"/>
    <w:rsid w:val="0084482B"/>
    <w:rsid w:val="0084557B"/>
    <w:rsid w:val="00850F44"/>
    <w:rsid w:val="00853B49"/>
    <w:rsid w:val="008549EE"/>
    <w:rsid w:val="00857426"/>
    <w:rsid w:val="00877137"/>
    <w:rsid w:val="00881603"/>
    <w:rsid w:val="00882C15"/>
    <w:rsid w:val="00890040"/>
    <w:rsid w:val="008934AD"/>
    <w:rsid w:val="00895CB7"/>
    <w:rsid w:val="008A6BF7"/>
    <w:rsid w:val="008B1B22"/>
    <w:rsid w:val="008B49AE"/>
    <w:rsid w:val="008B5B32"/>
    <w:rsid w:val="008C6EDA"/>
    <w:rsid w:val="008D00E5"/>
    <w:rsid w:val="008D104C"/>
    <w:rsid w:val="008D35C6"/>
    <w:rsid w:val="008D5BE0"/>
    <w:rsid w:val="008E0A40"/>
    <w:rsid w:val="008E5F3A"/>
    <w:rsid w:val="008E6202"/>
    <w:rsid w:val="008E7D9E"/>
    <w:rsid w:val="008F003D"/>
    <w:rsid w:val="008F201D"/>
    <w:rsid w:val="008F6021"/>
    <w:rsid w:val="008F6DFE"/>
    <w:rsid w:val="008F75C2"/>
    <w:rsid w:val="00905EE1"/>
    <w:rsid w:val="00906AD1"/>
    <w:rsid w:val="00913CAE"/>
    <w:rsid w:val="00916A14"/>
    <w:rsid w:val="00917082"/>
    <w:rsid w:val="00927FE7"/>
    <w:rsid w:val="00934316"/>
    <w:rsid w:val="009361EA"/>
    <w:rsid w:val="0094387D"/>
    <w:rsid w:val="00945EAE"/>
    <w:rsid w:val="0096138D"/>
    <w:rsid w:val="00966309"/>
    <w:rsid w:val="0097484B"/>
    <w:rsid w:val="009773A3"/>
    <w:rsid w:val="00981705"/>
    <w:rsid w:val="009878D8"/>
    <w:rsid w:val="00996C68"/>
    <w:rsid w:val="009A5953"/>
    <w:rsid w:val="009B57A3"/>
    <w:rsid w:val="009B686F"/>
    <w:rsid w:val="009B690D"/>
    <w:rsid w:val="009C0F91"/>
    <w:rsid w:val="009C17D3"/>
    <w:rsid w:val="009C6636"/>
    <w:rsid w:val="009D017A"/>
    <w:rsid w:val="009D2CCF"/>
    <w:rsid w:val="009D3731"/>
    <w:rsid w:val="009D7ED9"/>
    <w:rsid w:val="009E2F66"/>
    <w:rsid w:val="009E381A"/>
    <w:rsid w:val="009F2271"/>
    <w:rsid w:val="00A008BC"/>
    <w:rsid w:val="00A054B9"/>
    <w:rsid w:val="00A05D98"/>
    <w:rsid w:val="00A06C6A"/>
    <w:rsid w:val="00A2130C"/>
    <w:rsid w:val="00A260B4"/>
    <w:rsid w:val="00A3046D"/>
    <w:rsid w:val="00A34FA5"/>
    <w:rsid w:val="00A371E5"/>
    <w:rsid w:val="00A377F9"/>
    <w:rsid w:val="00A44440"/>
    <w:rsid w:val="00A46CF2"/>
    <w:rsid w:val="00A6133B"/>
    <w:rsid w:val="00A67205"/>
    <w:rsid w:val="00A82267"/>
    <w:rsid w:val="00A86028"/>
    <w:rsid w:val="00A86114"/>
    <w:rsid w:val="00A973BD"/>
    <w:rsid w:val="00AA2568"/>
    <w:rsid w:val="00AA389C"/>
    <w:rsid w:val="00AB0AEE"/>
    <w:rsid w:val="00AB437D"/>
    <w:rsid w:val="00AC22BC"/>
    <w:rsid w:val="00AC3EA4"/>
    <w:rsid w:val="00AD7F09"/>
    <w:rsid w:val="00AE37AF"/>
    <w:rsid w:val="00AE5A21"/>
    <w:rsid w:val="00AE5F55"/>
    <w:rsid w:val="00AF0B37"/>
    <w:rsid w:val="00AF2E3C"/>
    <w:rsid w:val="00AF4474"/>
    <w:rsid w:val="00AF6FE4"/>
    <w:rsid w:val="00AF7B70"/>
    <w:rsid w:val="00B025FF"/>
    <w:rsid w:val="00B02D46"/>
    <w:rsid w:val="00B06754"/>
    <w:rsid w:val="00B23587"/>
    <w:rsid w:val="00B31D30"/>
    <w:rsid w:val="00B32370"/>
    <w:rsid w:val="00B36112"/>
    <w:rsid w:val="00B37C9A"/>
    <w:rsid w:val="00B419B2"/>
    <w:rsid w:val="00B434FD"/>
    <w:rsid w:val="00B55A0E"/>
    <w:rsid w:val="00B562AD"/>
    <w:rsid w:val="00B6302A"/>
    <w:rsid w:val="00B666CA"/>
    <w:rsid w:val="00B75097"/>
    <w:rsid w:val="00B8639D"/>
    <w:rsid w:val="00B90BDD"/>
    <w:rsid w:val="00B90D45"/>
    <w:rsid w:val="00B91997"/>
    <w:rsid w:val="00BA3037"/>
    <w:rsid w:val="00BA7EA5"/>
    <w:rsid w:val="00BB4D40"/>
    <w:rsid w:val="00BC06EF"/>
    <w:rsid w:val="00BC074E"/>
    <w:rsid w:val="00BC1B53"/>
    <w:rsid w:val="00BC52B2"/>
    <w:rsid w:val="00BD1521"/>
    <w:rsid w:val="00BD5937"/>
    <w:rsid w:val="00BE2598"/>
    <w:rsid w:val="00BE3B09"/>
    <w:rsid w:val="00BE41C4"/>
    <w:rsid w:val="00BE6B57"/>
    <w:rsid w:val="00BF71A1"/>
    <w:rsid w:val="00C040EC"/>
    <w:rsid w:val="00C06422"/>
    <w:rsid w:val="00C1460F"/>
    <w:rsid w:val="00C14960"/>
    <w:rsid w:val="00C151E2"/>
    <w:rsid w:val="00C268F6"/>
    <w:rsid w:val="00C32C9C"/>
    <w:rsid w:val="00C35B03"/>
    <w:rsid w:val="00C3618C"/>
    <w:rsid w:val="00C434CC"/>
    <w:rsid w:val="00C43B75"/>
    <w:rsid w:val="00C74345"/>
    <w:rsid w:val="00C74748"/>
    <w:rsid w:val="00C74D13"/>
    <w:rsid w:val="00C77DAD"/>
    <w:rsid w:val="00C81D1B"/>
    <w:rsid w:val="00C85E60"/>
    <w:rsid w:val="00C902E5"/>
    <w:rsid w:val="00C949AE"/>
    <w:rsid w:val="00CA22C5"/>
    <w:rsid w:val="00CA3CE1"/>
    <w:rsid w:val="00CB14AC"/>
    <w:rsid w:val="00CB5C7F"/>
    <w:rsid w:val="00CC3C74"/>
    <w:rsid w:val="00CC5C66"/>
    <w:rsid w:val="00CC6B74"/>
    <w:rsid w:val="00CD0715"/>
    <w:rsid w:val="00CD7035"/>
    <w:rsid w:val="00CE0FA8"/>
    <w:rsid w:val="00CE66D0"/>
    <w:rsid w:val="00CE7F03"/>
    <w:rsid w:val="00CF4252"/>
    <w:rsid w:val="00D023FC"/>
    <w:rsid w:val="00D05114"/>
    <w:rsid w:val="00D109F2"/>
    <w:rsid w:val="00D22CDD"/>
    <w:rsid w:val="00D22CED"/>
    <w:rsid w:val="00D22F3D"/>
    <w:rsid w:val="00D24B71"/>
    <w:rsid w:val="00D276CD"/>
    <w:rsid w:val="00D35629"/>
    <w:rsid w:val="00D43744"/>
    <w:rsid w:val="00D44C86"/>
    <w:rsid w:val="00D6082F"/>
    <w:rsid w:val="00D62584"/>
    <w:rsid w:val="00D72EF5"/>
    <w:rsid w:val="00D735DD"/>
    <w:rsid w:val="00D750EC"/>
    <w:rsid w:val="00D77D64"/>
    <w:rsid w:val="00D81B16"/>
    <w:rsid w:val="00D83D31"/>
    <w:rsid w:val="00D96D6D"/>
    <w:rsid w:val="00DB39DE"/>
    <w:rsid w:val="00DB3D9B"/>
    <w:rsid w:val="00DB52FB"/>
    <w:rsid w:val="00DB76F4"/>
    <w:rsid w:val="00DC019D"/>
    <w:rsid w:val="00DD2131"/>
    <w:rsid w:val="00DD7F86"/>
    <w:rsid w:val="00DE0CEC"/>
    <w:rsid w:val="00DE4AEF"/>
    <w:rsid w:val="00DE642B"/>
    <w:rsid w:val="00DF3654"/>
    <w:rsid w:val="00DF5022"/>
    <w:rsid w:val="00DF5A72"/>
    <w:rsid w:val="00E0579F"/>
    <w:rsid w:val="00E135BC"/>
    <w:rsid w:val="00E16F31"/>
    <w:rsid w:val="00E2246D"/>
    <w:rsid w:val="00E22BF8"/>
    <w:rsid w:val="00E46737"/>
    <w:rsid w:val="00E504DE"/>
    <w:rsid w:val="00E51B58"/>
    <w:rsid w:val="00E52AE8"/>
    <w:rsid w:val="00E54D7D"/>
    <w:rsid w:val="00E6493B"/>
    <w:rsid w:val="00E75341"/>
    <w:rsid w:val="00E80696"/>
    <w:rsid w:val="00E84529"/>
    <w:rsid w:val="00E9354B"/>
    <w:rsid w:val="00EA2CFC"/>
    <w:rsid w:val="00EA472E"/>
    <w:rsid w:val="00EA49CE"/>
    <w:rsid w:val="00EA508A"/>
    <w:rsid w:val="00EB148E"/>
    <w:rsid w:val="00EC4888"/>
    <w:rsid w:val="00EC5EDB"/>
    <w:rsid w:val="00EC70CB"/>
    <w:rsid w:val="00ED4497"/>
    <w:rsid w:val="00EE1037"/>
    <w:rsid w:val="00EE1A38"/>
    <w:rsid w:val="00EE432B"/>
    <w:rsid w:val="00EE4A8C"/>
    <w:rsid w:val="00EE6C62"/>
    <w:rsid w:val="00EF7593"/>
    <w:rsid w:val="00F01285"/>
    <w:rsid w:val="00F055C1"/>
    <w:rsid w:val="00F16055"/>
    <w:rsid w:val="00F16688"/>
    <w:rsid w:val="00F23EC9"/>
    <w:rsid w:val="00F30289"/>
    <w:rsid w:val="00F3544F"/>
    <w:rsid w:val="00F3608C"/>
    <w:rsid w:val="00F366FE"/>
    <w:rsid w:val="00F414E0"/>
    <w:rsid w:val="00F41B95"/>
    <w:rsid w:val="00F476A2"/>
    <w:rsid w:val="00F50C6F"/>
    <w:rsid w:val="00F5112D"/>
    <w:rsid w:val="00F573CF"/>
    <w:rsid w:val="00F62BAC"/>
    <w:rsid w:val="00F664E4"/>
    <w:rsid w:val="00F67A85"/>
    <w:rsid w:val="00F67D4F"/>
    <w:rsid w:val="00F70C16"/>
    <w:rsid w:val="00F744F7"/>
    <w:rsid w:val="00F74609"/>
    <w:rsid w:val="00F74D94"/>
    <w:rsid w:val="00F81AF8"/>
    <w:rsid w:val="00F85353"/>
    <w:rsid w:val="00FA3F8D"/>
    <w:rsid w:val="00FA44E5"/>
    <w:rsid w:val="00FA4868"/>
    <w:rsid w:val="00FA5602"/>
    <w:rsid w:val="00FB342C"/>
    <w:rsid w:val="00FB65CC"/>
    <w:rsid w:val="00FB7A31"/>
    <w:rsid w:val="00FD7A18"/>
    <w:rsid w:val="00FD7AB5"/>
    <w:rsid w:val="00FE0DF9"/>
    <w:rsid w:val="00FE35A3"/>
    <w:rsid w:val="00FE4F2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88A007"/>
  <w15:docId w15:val="{309C6E07-78BD-452A-9C6D-0A62A9CC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4A40"/>
    <w:rPr>
      <w:sz w:val="16"/>
      <w:szCs w:val="16"/>
    </w:rPr>
  </w:style>
  <w:style w:type="paragraph" w:styleId="CommentText">
    <w:name w:val="annotation text"/>
    <w:basedOn w:val="Normal"/>
    <w:link w:val="CommentTextChar"/>
    <w:uiPriority w:val="99"/>
    <w:semiHidden/>
    <w:unhideWhenUsed/>
    <w:rsid w:val="006C4A40"/>
    <w:rPr>
      <w:sz w:val="20"/>
      <w:szCs w:val="20"/>
    </w:rPr>
  </w:style>
  <w:style w:type="character" w:customStyle="1" w:styleId="CommentTextChar">
    <w:name w:val="Comment Text Char"/>
    <w:basedOn w:val="DefaultParagraphFont"/>
    <w:link w:val="CommentText"/>
    <w:uiPriority w:val="99"/>
    <w:semiHidden/>
    <w:rsid w:val="006C4A4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C4A40"/>
    <w:rPr>
      <w:b/>
      <w:bCs/>
    </w:rPr>
  </w:style>
  <w:style w:type="character" w:customStyle="1" w:styleId="CommentSubjectChar">
    <w:name w:val="Comment Subject Char"/>
    <w:basedOn w:val="CommentTextChar"/>
    <w:link w:val="CommentSubject"/>
    <w:uiPriority w:val="99"/>
    <w:semiHidden/>
    <w:rsid w:val="006C4A40"/>
    <w:rPr>
      <w:rFonts w:ascii="Times New Roman" w:eastAsia="Times New Roman" w:hAnsi="Times New Roman"/>
      <w:b/>
      <w:bCs/>
    </w:rPr>
  </w:style>
  <w:style w:type="paragraph" w:styleId="Revision">
    <w:name w:val="Revision"/>
    <w:hidden/>
    <w:uiPriority w:val="99"/>
    <w:semiHidden/>
    <w:rsid w:val="006C4A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Tongier, Sarah [DASM]</cp:lastModifiedBy>
  <cp:revision>9</cp:revision>
  <cp:lastPrinted>2019-03-01T19:56:00Z</cp:lastPrinted>
  <dcterms:created xsi:type="dcterms:W3CDTF">2019-03-11T15:16:00Z</dcterms:created>
  <dcterms:modified xsi:type="dcterms:W3CDTF">2019-03-12T14:36:00Z</dcterms:modified>
</cp:coreProperties>
</file>