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D87A" w14:textId="6DEE09C1" w:rsidR="00800E42" w:rsidRDefault="006E7F8A" w:rsidP="000B12F4">
      <w:pPr>
        <w:pStyle w:val="Header"/>
        <w:spacing w:before="120"/>
        <w:jc w:val="center"/>
        <w:rPr>
          <w:rFonts w:ascii="Calibri" w:hAnsi="Calibri" w:cs="Arial"/>
          <w:b/>
          <w:bCs/>
          <w:noProof/>
          <w:sz w:val="32"/>
          <w:szCs w:val="32"/>
          <w:lang w:val="en-US"/>
        </w:rPr>
      </w:pPr>
      <w:r>
        <w:rPr>
          <w:rFonts w:cs="Arial"/>
          <w:b/>
          <w:bCs/>
          <w:noProof/>
          <w:sz w:val="32"/>
          <w:szCs w:val="32"/>
        </w:rPr>
        <w:drawing>
          <wp:anchor distT="0" distB="0" distL="114300" distR="114300" simplePos="0" relativeHeight="251657216" behindDoc="0" locked="0" layoutInCell="1" allowOverlap="1" wp14:anchorId="463ABA82" wp14:editId="5852720C">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A63EE7">
        <w:rPr>
          <w:rFonts w:ascii="Calibri" w:hAnsi="Calibri"/>
          <w:noProof/>
          <w:sz w:val="32"/>
          <w:szCs w:val="32"/>
        </w:rPr>
        <w:object w:dxaOrig="1440" w:dyaOrig="1440" w14:anchorId="5611DE39">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4605767" r:id="rId9"/>
        </w:object>
      </w:r>
      <w:r w:rsidR="00800E42" w:rsidRPr="00996C68">
        <w:rPr>
          <w:rFonts w:ascii="Calibri" w:hAnsi="Calibri" w:cs="Arial"/>
          <w:b/>
          <w:bCs/>
          <w:noProof/>
          <w:sz w:val="32"/>
          <w:szCs w:val="32"/>
        </w:rPr>
        <w:t>State of Kansas</w:t>
      </w:r>
    </w:p>
    <w:p w14:paraId="7DFC8912" w14:textId="67636367" w:rsidR="00800551" w:rsidRPr="000F03C0" w:rsidRDefault="00424890" w:rsidP="000B12F4">
      <w:pPr>
        <w:pStyle w:val="Header"/>
        <w:spacing w:before="120"/>
        <w:jc w:val="center"/>
        <w:rPr>
          <w:rFonts w:ascii="Verdana" w:hAnsi="Verdana" w:cs="Arial"/>
          <w:b/>
          <w:bCs/>
          <w:noProof/>
          <w:sz w:val="28"/>
          <w:szCs w:val="28"/>
          <w:lang w:val="en-US"/>
        </w:rPr>
      </w:pPr>
      <w:r>
        <w:rPr>
          <w:rFonts w:ascii="Verdana" w:hAnsi="Verdana" w:cs="Arial"/>
          <w:b/>
          <w:bCs/>
          <w:noProof/>
          <w:sz w:val="28"/>
          <w:szCs w:val="28"/>
          <w:lang w:val="en-US"/>
        </w:rPr>
        <w:t>Accounts Payable</w:t>
      </w:r>
      <w:r w:rsidR="00520D68">
        <w:rPr>
          <w:rFonts w:ascii="Verdana" w:hAnsi="Verdana" w:cs="Arial"/>
          <w:b/>
          <w:bCs/>
          <w:noProof/>
          <w:sz w:val="28"/>
          <w:szCs w:val="28"/>
          <w:lang w:val="en-US"/>
        </w:rPr>
        <w:t xml:space="preserve"> Homepage Guide</w:t>
      </w:r>
    </w:p>
    <w:p w14:paraId="5C23860D" w14:textId="77777777" w:rsidR="005F7B5A" w:rsidRPr="00996C68" w:rsidRDefault="00800E42" w:rsidP="00800551">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14:paraId="59DA8D25"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3601C1" w:rsidRPr="00161D65" w14:paraId="3DCFD2B3" w14:textId="77777777" w:rsidTr="003601C1">
        <w:tc>
          <w:tcPr>
            <w:tcW w:w="3330" w:type="dxa"/>
          </w:tcPr>
          <w:p w14:paraId="306597EA" w14:textId="77777777" w:rsidR="003601C1" w:rsidRPr="00800551" w:rsidRDefault="003601C1" w:rsidP="00161D65">
            <w:pPr>
              <w:rPr>
                <w:rFonts w:ascii="Verdana" w:hAnsi="Verdana"/>
                <w:b/>
                <w:noProof/>
              </w:rPr>
            </w:pPr>
            <w:r w:rsidRPr="00800551">
              <w:rPr>
                <w:rFonts w:ascii="Verdana" w:hAnsi="Verdana"/>
                <w:b/>
                <w:noProof/>
              </w:rPr>
              <w:t>Date Created:</w:t>
            </w:r>
          </w:p>
        </w:tc>
        <w:tc>
          <w:tcPr>
            <w:tcW w:w="7128" w:type="dxa"/>
          </w:tcPr>
          <w:p w14:paraId="4481ACD2" w14:textId="51CB344D" w:rsidR="003601C1" w:rsidRPr="00800551" w:rsidRDefault="003601C1" w:rsidP="00290E9D">
            <w:pPr>
              <w:rPr>
                <w:rFonts w:ascii="Verdana" w:hAnsi="Verdana"/>
              </w:rPr>
            </w:pPr>
            <w:r>
              <w:rPr>
                <w:rFonts w:ascii="Verdana" w:hAnsi="Verdana"/>
              </w:rPr>
              <w:t>3/</w:t>
            </w:r>
            <w:r w:rsidR="00A63EE7">
              <w:rPr>
                <w:rFonts w:ascii="Verdana" w:hAnsi="Verdana"/>
              </w:rPr>
              <w:t>20</w:t>
            </w:r>
            <w:r>
              <w:rPr>
                <w:rFonts w:ascii="Verdana" w:hAnsi="Verdana"/>
              </w:rPr>
              <w:t>/2019</w:t>
            </w:r>
          </w:p>
        </w:tc>
      </w:tr>
      <w:tr w:rsidR="003601C1" w:rsidRPr="00161D65" w14:paraId="1EA8269E" w14:textId="77777777" w:rsidTr="003601C1">
        <w:tc>
          <w:tcPr>
            <w:tcW w:w="3330" w:type="dxa"/>
          </w:tcPr>
          <w:p w14:paraId="68D2F1C5" w14:textId="77777777" w:rsidR="003601C1" w:rsidRPr="00800551" w:rsidRDefault="003601C1" w:rsidP="00161D65">
            <w:pPr>
              <w:rPr>
                <w:rFonts w:ascii="Verdana" w:hAnsi="Verdana"/>
                <w:b/>
                <w:noProof/>
              </w:rPr>
            </w:pPr>
            <w:r w:rsidRPr="00800551">
              <w:rPr>
                <w:rFonts w:ascii="Verdana" w:hAnsi="Verdana"/>
                <w:b/>
                <w:noProof/>
              </w:rPr>
              <w:t>Version:</w:t>
            </w:r>
          </w:p>
        </w:tc>
        <w:tc>
          <w:tcPr>
            <w:tcW w:w="7128" w:type="dxa"/>
          </w:tcPr>
          <w:p w14:paraId="7F91FD1C" w14:textId="49A80E44" w:rsidR="003601C1" w:rsidRPr="00800551" w:rsidRDefault="00A63EE7" w:rsidP="00EE1A38">
            <w:pPr>
              <w:rPr>
                <w:rFonts w:ascii="Verdana" w:hAnsi="Verdana"/>
              </w:rPr>
            </w:pPr>
            <w:r>
              <w:rPr>
                <w:rFonts w:ascii="Verdana" w:hAnsi="Verdana"/>
              </w:rPr>
              <w:t>2</w:t>
            </w:r>
            <w:bookmarkStart w:id="0" w:name="_GoBack"/>
            <w:bookmarkEnd w:id="0"/>
          </w:p>
        </w:tc>
      </w:tr>
      <w:tr w:rsidR="003601C1" w:rsidRPr="00161D65" w14:paraId="31F62CC8" w14:textId="77777777" w:rsidTr="003601C1">
        <w:tc>
          <w:tcPr>
            <w:tcW w:w="3330" w:type="dxa"/>
          </w:tcPr>
          <w:p w14:paraId="33DE3039" w14:textId="77777777" w:rsidR="003601C1" w:rsidRPr="00800551" w:rsidRDefault="003601C1" w:rsidP="00161D65">
            <w:pPr>
              <w:rPr>
                <w:rFonts w:ascii="Verdana" w:hAnsi="Verdana"/>
                <w:b/>
                <w:noProof/>
              </w:rPr>
            </w:pPr>
            <w:r w:rsidRPr="00800551">
              <w:rPr>
                <w:rFonts w:ascii="Verdana" w:hAnsi="Verdana"/>
                <w:b/>
                <w:noProof/>
              </w:rPr>
              <w:t>Last Updated Date:</w:t>
            </w:r>
          </w:p>
        </w:tc>
        <w:tc>
          <w:tcPr>
            <w:tcW w:w="7128" w:type="dxa"/>
          </w:tcPr>
          <w:p w14:paraId="6DECD6B7" w14:textId="3FF93A9E" w:rsidR="003601C1" w:rsidRPr="000F03C0" w:rsidRDefault="003601C1" w:rsidP="00254DE3">
            <w:pPr>
              <w:rPr>
                <w:rFonts w:ascii="Verdana" w:hAnsi="Verdana"/>
                <w:color w:val="FF0000"/>
              </w:rPr>
            </w:pPr>
            <w:r>
              <w:rPr>
                <w:rFonts w:ascii="Verdana" w:hAnsi="Verdana"/>
              </w:rPr>
              <w:t>3/</w:t>
            </w:r>
            <w:r w:rsidR="00A63EE7">
              <w:rPr>
                <w:rFonts w:ascii="Verdana" w:hAnsi="Verdana"/>
              </w:rPr>
              <w:t>20</w:t>
            </w:r>
            <w:r>
              <w:rPr>
                <w:rFonts w:ascii="Verdana" w:hAnsi="Verdana"/>
              </w:rPr>
              <w:t>/2019</w:t>
            </w:r>
          </w:p>
        </w:tc>
      </w:tr>
      <w:tr w:rsidR="003601C1" w:rsidRPr="00161D65" w14:paraId="433F03A0" w14:textId="77777777" w:rsidTr="003601C1">
        <w:tc>
          <w:tcPr>
            <w:tcW w:w="3330" w:type="dxa"/>
          </w:tcPr>
          <w:p w14:paraId="4C20C9B3" w14:textId="77777777" w:rsidR="003601C1" w:rsidRPr="00800551" w:rsidRDefault="003601C1" w:rsidP="0001126C">
            <w:pPr>
              <w:rPr>
                <w:rFonts w:ascii="Verdana" w:hAnsi="Verdana"/>
                <w:b/>
                <w:noProof/>
              </w:rPr>
            </w:pPr>
            <w:r>
              <w:rPr>
                <w:rFonts w:ascii="Verdana" w:hAnsi="Verdana"/>
                <w:b/>
                <w:noProof/>
              </w:rPr>
              <w:t>Background:</w:t>
            </w:r>
          </w:p>
        </w:tc>
        <w:tc>
          <w:tcPr>
            <w:tcW w:w="7128" w:type="dxa"/>
          </w:tcPr>
          <w:p w14:paraId="51C9BC06" w14:textId="5D55B3DD" w:rsidR="003601C1" w:rsidRPr="00F74609" w:rsidRDefault="003601C1" w:rsidP="00E86D21">
            <w:pPr>
              <w:rPr>
                <w:rFonts w:ascii="Verdana" w:hAnsi="Verdana"/>
                <w:noProof/>
              </w:rPr>
            </w:pPr>
            <w:r>
              <w:rPr>
                <w:rFonts w:ascii="Verdana" w:hAnsi="Verdana"/>
                <w:noProof/>
              </w:rPr>
              <w:t>The Accounts Payable Homepage includes functionality associated with the Accounts Payable module wh</w:t>
            </w:r>
            <w:r w:rsidR="00031FC3">
              <w:rPr>
                <w:rFonts w:ascii="Verdana" w:hAnsi="Verdana"/>
                <w:noProof/>
              </w:rPr>
              <w:t>ich includes vouchers, payments,</w:t>
            </w:r>
            <w:r>
              <w:rPr>
                <w:rFonts w:ascii="Verdana" w:hAnsi="Verdana"/>
                <w:noProof/>
              </w:rPr>
              <w:t xml:space="preserve"> and suppliers. </w:t>
            </w:r>
          </w:p>
        </w:tc>
      </w:tr>
      <w:tr w:rsidR="003601C1" w:rsidRPr="00161D65" w14:paraId="78D98677" w14:textId="181162A0" w:rsidTr="003601C1">
        <w:tc>
          <w:tcPr>
            <w:tcW w:w="3330" w:type="dxa"/>
          </w:tcPr>
          <w:p w14:paraId="66D0DA7F" w14:textId="0A625937" w:rsidR="003601C1" w:rsidRPr="000A7AED" w:rsidRDefault="003601C1" w:rsidP="009D7870">
            <w:pPr>
              <w:rPr>
                <w:rFonts w:ascii="Verdana" w:hAnsi="Verdana"/>
                <w:noProof/>
              </w:rPr>
            </w:pPr>
            <w:r>
              <w:rPr>
                <w:rFonts w:ascii="Verdana" w:hAnsi="Verdana"/>
                <w:b/>
                <w:noProof/>
              </w:rPr>
              <w:t xml:space="preserve">Accounts Payable </w:t>
            </w:r>
            <w:r w:rsidRPr="00A260B4">
              <w:rPr>
                <w:rFonts w:ascii="Verdana" w:hAnsi="Verdana"/>
                <w:b/>
                <w:noProof/>
              </w:rPr>
              <w:t xml:space="preserve"> Homepage:</w:t>
            </w:r>
          </w:p>
        </w:tc>
        <w:tc>
          <w:tcPr>
            <w:tcW w:w="7128" w:type="dxa"/>
          </w:tcPr>
          <w:p w14:paraId="015A874E" w14:textId="42892F79" w:rsidR="003601C1" w:rsidRDefault="003601C1" w:rsidP="009D7870">
            <w:pPr>
              <w:rPr>
                <w:rFonts w:ascii="Verdana" w:hAnsi="Verdana"/>
                <w:noProof/>
              </w:rPr>
            </w:pPr>
            <w:r>
              <w:rPr>
                <w:rFonts w:ascii="Verdana" w:hAnsi="Verdana"/>
                <w:noProof/>
              </w:rPr>
              <w:t>The Accounts Payable homepage contains the following tiles:</w:t>
            </w:r>
          </w:p>
          <w:p w14:paraId="0717DE72" w14:textId="5E3EB6FC" w:rsidR="003601C1" w:rsidRDefault="003601C1" w:rsidP="009D7870">
            <w:pPr>
              <w:rPr>
                <w:rFonts w:ascii="Verdana" w:hAnsi="Verdana"/>
                <w:noProof/>
              </w:rPr>
            </w:pPr>
          </w:p>
          <w:p w14:paraId="742A807E" w14:textId="0CBA28EA" w:rsidR="00846423" w:rsidRPr="00846423" w:rsidRDefault="00846423" w:rsidP="009D7870">
            <w:pPr>
              <w:numPr>
                <w:ilvl w:val="0"/>
                <w:numId w:val="14"/>
              </w:numPr>
              <w:rPr>
                <w:rFonts w:ascii="Verdana" w:hAnsi="Verdana"/>
                <w:b/>
                <w:noProof/>
              </w:rPr>
            </w:pPr>
            <w:r w:rsidRPr="00846423">
              <w:rPr>
                <w:rFonts w:ascii="Verdana" w:hAnsi="Verdana"/>
                <w:b/>
                <w:noProof/>
              </w:rPr>
              <w:t>Accounts Payable Messages</w:t>
            </w:r>
          </w:p>
          <w:p w14:paraId="26FED430" w14:textId="4FBF2CE7" w:rsidR="003601C1" w:rsidRDefault="003601C1" w:rsidP="009D7870">
            <w:pPr>
              <w:numPr>
                <w:ilvl w:val="0"/>
                <w:numId w:val="14"/>
              </w:numPr>
              <w:rPr>
                <w:rFonts w:ascii="Verdana" w:hAnsi="Verdana"/>
                <w:noProof/>
              </w:rPr>
            </w:pPr>
            <w:r>
              <w:rPr>
                <w:rFonts w:ascii="Verdana" w:hAnsi="Verdana"/>
                <w:b/>
                <w:noProof/>
              </w:rPr>
              <w:t>Vouchers</w:t>
            </w:r>
          </w:p>
          <w:p w14:paraId="2424C756" w14:textId="0638CD88" w:rsidR="003601C1" w:rsidRDefault="003601C1" w:rsidP="009D7870">
            <w:pPr>
              <w:numPr>
                <w:ilvl w:val="0"/>
                <w:numId w:val="14"/>
              </w:numPr>
              <w:rPr>
                <w:rFonts w:ascii="Verdana" w:hAnsi="Verdana"/>
                <w:noProof/>
              </w:rPr>
            </w:pPr>
            <w:r>
              <w:rPr>
                <w:rFonts w:ascii="Verdana" w:hAnsi="Verdana"/>
                <w:b/>
                <w:noProof/>
              </w:rPr>
              <w:t>Approvals</w:t>
            </w:r>
          </w:p>
          <w:p w14:paraId="31FFE59E" w14:textId="15B0C1F3" w:rsidR="003601C1" w:rsidRDefault="003601C1" w:rsidP="009D7870">
            <w:pPr>
              <w:numPr>
                <w:ilvl w:val="0"/>
                <w:numId w:val="14"/>
              </w:numPr>
              <w:rPr>
                <w:rFonts w:ascii="Verdana" w:hAnsi="Verdana"/>
                <w:noProof/>
              </w:rPr>
            </w:pPr>
            <w:r>
              <w:rPr>
                <w:rFonts w:ascii="Verdana" w:hAnsi="Verdana"/>
                <w:b/>
                <w:noProof/>
              </w:rPr>
              <w:t>Payments</w:t>
            </w:r>
          </w:p>
          <w:p w14:paraId="7D53E875" w14:textId="71ED4FCC" w:rsidR="003601C1" w:rsidRPr="00131B6F" w:rsidRDefault="003601C1" w:rsidP="009D7870">
            <w:pPr>
              <w:numPr>
                <w:ilvl w:val="0"/>
                <w:numId w:val="14"/>
              </w:numPr>
              <w:rPr>
                <w:rFonts w:ascii="Verdana" w:hAnsi="Verdana"/>
                <w:noProof/>
              </w:rPr>
            </w:pPr>
            <w:r>
              <w:rPr>
                <w:rFonts w:ascii="Verdana" w:hAnsi="Verdana"/>
                <w:b/>
                <w:noProof/>
              </w:rPr>
              <w:t>Interfunds</w:t>
            </w:r>
          </w:p>
          <w:p w14:paraId="377AFFA0" w14:textId="388F844E" w:rsidR="003601C1" w:rsidRPr="00520D68" w:rsidRDefault="003601C1" w:rsidP="009D7870">
            <w:pPr>
              <w:numPr>
                <w:ilvl w:val="0"/>
                <w:numId w:val="14"/>
              </w:numPr>
              <w:rPr>
                <w:rFonts w:ascii="Verdana" w:hAnsi="Verdana"/>
                <w:noProof/>
              </w:rPr>
            </w:pPr>
            <w:r>
              <w:rPr>
                <w:rFonts w:ascii="Verdana" w:hAnsi="Verdana"/>
                <w:b/>
                <w:noProof/>
              </w:rPr>
              <w:t>Suppliers</w:t>
            </w:r>
          </w:p>
          <w:p w14:paraId="21BCFC39" w14:textId="7CE03022" w:rsidR="003601C1" w:rsidRPr="00520D68" w:rsidRDefault="003601C1" w:rsidP="009D7870">
            <w:pPr>
              <w:numPr>
                <w:ilvl w:val="0"/>
                <w:numId w:val="14"/>
              </w:numPr>
              <w:rPr>
                <w:rFonts w:ascii="Verdana" w:hAnsi="Verdana"/>
                <w:noProof/>
              </w:rPr>
            </w:pPr>
            <w:r>
              <w:rPr>
                <w:rFonts w:ascii="Verdana" w:hAnsi="Verdana"/>
                <w:b/>
                <w:noProof/>
              </w:rPr>
              <w:t>1099</w:t>
            </w:r>
          </w:p>
          <w:p w14:paraId="729AAFF8" w14:textId="77A82BDD" w:rsidR="003601C1" w:rsidRPr="00520D68" w:rsidRDefault="003601C1" w:rsidP="009D7870">
            <w:pPr>
              <w:numPr>
                <w:ilvl w:val="0"/>
                <w:numId w:val="14"/>
              </w:numPr>
              <w:rPr>
                <w:rFonts w:ascii="Verdana" w:hAnsi="Verdana"/>
                <w:noProof/>
              </w:rPr>
            </w:pPr>
            <w:r>
              <w:rPr>
                <w:rFonts w:ascii="Verdana" w:hAnsi="Verdana"/>
                <w:b/>
                <w:noProof/>
              </w:rPr>
              <w:t>Accounts Payable WorkCenter</w:t>
            </w:r>
          </w:p>
          <w:p w14:paraId="7CB17E59" w14:textId="595FB3E2" w:rsidR="003601C1" w:rsidRPr="00520D68" w:rsidRDefault="003601C1" w:rsidP="009D7870">
            <w:pPr>
              <w:numPr>
                <w:ilvl w:val="0"/>
                <w:numId w:val="14"/>
              </w:numPr>
              <w:rPr>
                <w:rFonts w:ascii="Verdana" w:hAnsi="Verdana"/>
                <w:noProof/>
              </w:rPr>
            </w:pPr>
            <w:r>
              <w:rPr>
                <w:rFonts w:ascii="Verdana" w:hAnsi="Verdana"/>
                <w:b/>
                <w:noProof/>
              </w:rPr>
              <w:t>AP Reports</w:t>
            </w:r>
          </w:p>
          <w:p w14:paraId="6D1E05B3" w14:textId="0ED83118" w:rsidR="003601C1" w:rsidRPr="00E86D21" w:rsidRDefault="003601C1" w:rsidP="009D7870">
            <w:pPr>
              <w:numPr>
                <w:ilvl w:val="0"/>
                <w:numId w:val="14"/>
              </w:numPr>
              <w:rPr>
                <w:rFonts w:ascii="Verdana" w:hAnsi="Verdana"/>
                <w:noProof/>
              </w:rPr>
            </w:pPr>
            <w:r>
              <w:rPr>
                <w:rFonts w:ascii="Verdana" w:hAnsi="Verdana"/>
                <w:b/>
                <w:noProof/>
              </w:rPr>
              <w:t>AP Training/Resources</w:t>
            </w:r>
          </w:p>
          <w:p w14:paraId="16E01201" w14:textId="12B9A474" w:rsidR="003601C1" w:rsidRDefault="003601C1" w:rsidP="009D7870">
            <w:pPr>
              <w:numPr>
                <w:ilvl w:val="0"/>
                <w:numId w:val="14"/>
              </w:numPr>
              <w:rPr>
                <w:rFonts w:ascii="Verdana" w:hAnsi="Verdana"/>
                <w:noProof/>
              </w:rPr>
            </w:pPr>
            <w:r>
              <w:rPr>
                <w:rFonts w:ascii="Verdana" w:hAnsi="Verdana"/>
                <w:b/>
                <w:noProof/>
              </w:rPr>
              <w:t>Utilities</w:t>
            </w:r>
          </w:p>
          <w:p w14:paraId="321D8078" w14:textId="30D645B3" w:rsidR="003601C1" w:rsidRDefault="003601C1" w:rsidP="009D7870">
            <w:pPr>
              <w:rPr>
                <w:rFonts w:ascii="Verdana" w:hAnsi="Verdana"/>
                <w:noProof/>
              </w:rPr>
            </w:pPr>
          </w:p>
          <w:p w14:paraId="273CB028" w14:textId="0E64490C" w:rsidR="003601C1" w:rsidRDefault="003601C1" w:rsidP="009D7870">
            <w:pPr>
              <w:rPr>
                <w:rFonts w:ascii="Verdana" w:hAnsi="Verdana"/>
                <w:noProof/>
              </w:rPr>
            </w:pPr>
          </w:p>
          <w:p w14:paraId="385303CA" w14:textId="31845100" w:rsidR="003601C1" w:rsidRDefault="00F72BDB" w:rsidP="009D7870">
            <w:pPr>
              <w:rPr>
                <w:rFonts w:ascii="Verdana" w:hAnsi="Verdana"/>
                <w:noProof/>
              </w:rPr>
            </w:pPr>
            <w:r>
              <w:rPr>
                <w:noProof/>
              </w:rPr>
              <w:drawing>
                <wp:inline distT="0" distB="0" distL="0" distR="0" wp14:anchorId="3C2445DE" wp14:editId="56991975">
                  <wp:extent cx="4389120" cy="2127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89120" cy="2127250"/>
                          </a:xfrm>
                          <a:prstGeom prst="rect">
                            <a:avLst/>
                          </a:prstGeom>
                        </pic:spPr>
                      </pic:pic>
                    </a:graphicData>
                  </a:graphic>
                </wp:inline>
              </w:drawing>
            </w:r>
          </w:p>
          <w:p w14:paraId="2D42D839" w14:textId="334235F7" w:rsidR="003601C1" w:rsidRDefault="003601C1" w:rsidP="009D7870">
            <w:pPr>
              <w:rPr>
                <w:noProof/>
              </w:rPr>
            </w:pPr>
          </w:p>
          <w:p w14:paraId="2E291363" w14:textId="77777777" w:rsidR="003601C1" w:rsidRPr="0096757B" w:rsidRDefault="003601C1" w:rsidP="009D7870">
            <w:pPr>
              <w:rPr>
                <w:noProof/>
              </w:rPr>
            </w:pPr>
          </w:p>
        </w:tc>
      </w:tr>
    </w:tbl>
    <w:p w14:paraId="014EA581" w14:textId="77777777" w:rsidR="009D7870" w:rsidRDefault="009D7870">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3601C1" w:rsidRPr="00161D65" w14:paraId="486342B4" w14:textId="77777777" w:rsidTr="003601C1">
        <w:tc>
          <w:tcPr>
            <w:tcW w:w="3330" w:type="dxa"/>
          </w:tcPr>
          <w:p w14:paraId="796CC02B" w14:textId="581D90F3" w:rsidR="003601C1" w:rsidRDefault="003601C1" w:rsidP="009D7870">
            <w:pPr>
              <w:rPr>
                <w:rFonts w:ascii="Verdana" w:hAnsi="Verdana"/>
                <w:b/>
                <w:noProof/>
              </w:rPr>
            </w:pPr>
            <w:r>
              <w:rPr>
                <w:rFonts w:ascii="Verdana" w:hAnsi="Verdana"/>
                <w:b/>
                <w:noProof/>
              </w:rPr>
              <w:lastRenderedPageBreak/>
              <w:t>Accounts Payable Messages</w:t>
            </w:r>
          </w:p>
        </w:tc>
        <w:tc>
          <w:tcPr>
            <w:tcW w:w="7128" w:type="dxa"/>
          </w:tcPr>
          <w:p w14:paraId="7C2DB077" w14:textId="77777777" w:rsidR="003601C1" w:rsidRDefault="003601C1" w:rsidP="009D7870">
            <w:pPr>
              <w:rPr>
                <w:rFonts w:ascii="Verdana" w:hAnsi="Verdana"/>
                <w:noProof/>
              </w:rPr>
            </w:pPr>
            <w:r>
              <w:rPr>
                <w:rFonts w:ascii="Verdana" w:hAnsi="Verdana"/>
                <w:noProof/>
              </w:rPr>
              <w:t>The ‘Accounts Payable Messages’ tile will contain any important messages to be communicated to Accounts Payable users.  Unless there is a message for users, this tile will remain blank.</w:t>
            </w:r>
          </w:p>
          <w:p w14:paraId="7FD7AF8D" w14:textId="77777777" w:rsidR="003601C1" w:rsidRDefault="003601C1" w:rsidP="009D7870">
            <w:pPr>
              <w:rPr>
                <w:rFonts w:ascii="Verdana" w:hAnsi="Verdana"/>
                <w:noProof/>
              </w:rPr>
            </w:pPr>
          </w:p>
          <w:p w14:paraId="1076B660" w14:textId="77777777" w:rsidR="003601C1" w:rsidRDefault="003601C1" w:rsidP="009D7870">
            <w:pPr>
              <w:jc w:val="center"/>
              <w:rPr>
                <w:noProof/>
              </w:rPr>
            </w:pPr>
            <w:r>
              <w:rPr>
                <w:noProof/>
              </w:rPr>
              <w:drawing>
                <wp:inline distT="0" distB="0" distL="0" distR="0" wp14:anchorId="353F47FC" wp14:editId="57B9507C">
                  <wp:extent cx="4389120" cy="1730375"/>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9120" cy="1730375"/>
                          </a:xfrm>
                          <a:prstGeom prst="rect">
                            <a:avLst/>
                          </a:prstGeom>
                        </pic:spPr>
                      </pic:pic>
                    </a:graphicData>
                  </a:graphic>
                </wp:inline>
              </w:drawing>
            </w:r>
          </w:p>
          <w:p w14:paraId="5C151EA4" w14:textId="77777777" w:rsidR="003601C1" w:rsidRDefault="003601C1" w:rsidP="009D7870">
            <w:pPr>
              <w:rPr>
                <w:rFonts w:ascii="Verdana" w:hAnsi="Verdana"/>
                <w:noProof/>
              </w:rPr>
            </w:pPr>
          </w:p>
        </w:tc>
      </w:tr>
      <w:tr w:rsidR="003601C1" w:rsidRPr="00161D65" w14:paraId="3630C75A" w14:textId="77777777" w:rsidTr="003601C1">
        <w:tc>
          <w:tcPr>
            <w:tcW w:w="3330" w:type="dxa"/>
          </w:tcPr>
          <w:p w14:paraId="7642E1A3" w14:textId="6C407514" w:rsidR="003601C1" w:rsidRDefault="00B74B20" w:rsidP="009D7870">
            <w:pPr>
              <w:rPr>
                <w:rFonts w:ascii="Verdana" w:hAnsi="Verdana"/>
                <w:b/>
                <w:noProof/>
              </w:rPr>
            </w:pPr>
            <w:r>
              <w:rPr>
                <w:rFonts w:ascii="Verdana" w:hAnsi="Verdana"/>
                <w:b/>
                <w:noProof/>
              </w:rPr>
              <w:t>Vouchers</w:t>
            </w:r>
          </w:p>
        </w:tc>
        <w:tc>
          <w:tcPr>
            <w:tcW w:w="7128" w:type="dxa"/>
          </w:tcPr>
          <w:p w14:paraId="6C4F4DFA" w14:textId="77777777" w:rsidR="003601C1" w:rsidRDefault="003601C1" w:rsidP="009D7870">
            <w:pPr>
              <w:rPr>
                <w:rFonts w:ascii="Verdana" w:hAnsi="Verdana"/>
                <w:noProof/>
              </w:rPr>
            </w:pPr>
            <w:r>
              <w:rPr>
                <w:rFonts w:ascii="Verdana" w:hAnsi="Verdana"/>
                <w:noProof/>
              </w:rPr>
              <w:t>This tile allows users to enter, maintain, approve, and inquire on vouchers in SMART.  Users can also access accounting entries, match workbench,  agency-maintained tables, user-initiated batch processes, and control group functionality with proper security access.</w:t>
            </w:r>
          </w:p>
          <w:p w14:paraId="396F5127" w14:textId="77777777" w:rsidR="003601C1" w:rsidRDefault="003601C1" w:rsidP="009D7870">
            <w:pPr>
              <w:rPr>
                <w:rFonts w:ascii="Verdana" w:hAnsi="Verdana"/>
                <w:noProof/>
              </w:rPr>
            </w:pPr>
          </w:p>
          <w:p w14:paraId="7E891D35" w14:textId="21B9F86E" w:rsidR="003601C1" w:rsidRDefault="003601C1" w:rsidP="009D7870">
            <w:pPr>
              <w:jc w:val="center"/>
              <w:rPr>
                <w:rFonts w:ascii="Verdana" w:hAnsi="Verdana"/>
                <w:noProof/>
              </w:rPr>
            </w:pPr>
            <w:r>
              <w:rPr>
                <w:noProof/>
              </w:rPr>
              <w:drawing>
                <wp:inline distT="0" distB="0" distL="0" distR="0" wp14:anchorId="6D326480" wp14:editId="41467238">
                  <wp:extent cx="2495238" cy="1971429"/>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5238" cy="1971429"/>
                          </a:xfrm>
                          <a:prstGeom prst="rect">
                            <a:avLst/>
                          </a:prstGeom>
                        </pic:spPr>
                      </pic:pic>
                    </a:graphicData>
                  </a:graphic>
                </wp:inline>
              </w:drawing>
            </w:r>
          </w:p>
          <w:p w14:paraId="767C4B68" w14:textId="501BB1BB" w:rsidR="003601C1" w:rsidRDefault="003601C1" w:rsidP="009D7870">
            <w:pPr>
              <w:jc w:val="center"/>
              <w:rPr>
                <w:rFonts w:ascii="Verdana" w:hAnsi="Verdana"/>
                <w:noProof/>
              </w:rPr>
            </w:pPr>
          </w:p>
          <w:p w14:paraId="517E41AD" w14:textId="31653E5F" w:rsidR="003601C1" w:rsidRDefault="003601C1" w:rsidP="009D7870">
            <w:pPr>
              <w:jc w:val="center"/>
              <w:rPr>
                <w:rFonts w:ascii="Verdana" w:hAnsi="Verdana"/>
                <w:noProof/>
              </w:rPr>
            </w:pPr>
            <w:r>
              <w:rPr>
                <w:noProof/>
              </w:rPr>
              <w:lastRenderedPageBreak/>
              <w:drawing>
                <wp:inline distT="0" distB="0" distL="0" distR="0" wp14:anchorId="14169B14" wp14:editId="32CF9E8B">
                  <wp:extent cx="1812563" cy="4905375"/>
                  <wp:effectExtent l="19050" t="19050" r="1651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3215" cy="5015393"/>
                          </a:xfrm>
                          <a:prstGeom prst="rect">
                            <a:avLst/>
                          </a:prstGeom>
                          <a:ln>
                            <a:solidFill>
                              <a:schemeClr val="tx1"/>
                            </a:solidFill>
                          </a:ln>
                        </pic:spPr>
                      </pic:pic>
                    </a:graphicData>
                  </a:graphic>
                </wp:inline>
              </w:drawing>
            </w:r>
          </w:p>
          <w:p w14:paraId="6CAD88F3" w14:textId="2D0E6152" w:rsidR="003601C1" w:rsidRDefault="003601C1" w:rsidP="009D7870">
            <w:pPr>
              <w:jc w:val="center"/>
              <w:rPr>
                <w:rFonts w:ascii="Verdana" w:hAnsi="Verdana"/>
                <w:noProof/>
              </w:rPr>
            </w:pPr>
            <w:r>
              <w:rPr>
                <w:noProof/>
              </w:rPr>
              <w:drawing>
                <wp:inline distT="0" distB="0" distL="0" distR="0" wp14:anchorId="474DC676" wp14:editId="620219BA">
                  <wp:extent cx="1799106" cy="3161665"/>
                  <wp:effectExtent l="19050" t="19050" r="10795" b="196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7045" cy="3228338"/>
                          </a:xfrm>
                          <a:prstGeom prst="rect">
                            <a:avLst/>
                          </a:prstGeom>
                          <a:ln>
                            <a:solidFill>
                              <a:schemeClr val="tx1"/>
                            </a:solidFill>
                          </a:ln>
                        </pic:spPr>
                      </pic:pic>
                    </a:graphicData>
                  </a:graphic>
                </wp:inline>
              </w:drawing>
            </w:r>
          </w:p>
          <w:p w14:paraId="1BB85431" w14:textId="77777777" w:rsidR="003601C1" w:rsidRDefault="003601C1" w:rsidP="009D7870">
            <w:pPr>
              <w:jc w:val="center"/>
              <w:rPr>
                <w:rFonts w:ascii="Verdana" w:hAnsi="Verdana"/>
                <w:noProof/>
              </w:rPr>
            </w:pPr>
          </w:p>
          <w:p w14:paraId="7ED73282" w14:textId="586BC823" w:rsidR="003601C1" w:rsidRDefault="003601C1" w:rsidP="009D7870">
            <w:pPr>
              <w:jc w:val="center"/>
              <w:rPr>
                <w:rFonts w:ascii="Verdana" w:hAnsi="Verdana"/>
                <w:noProof/>
              </w:rPr>
            </w:pPr>
            <w:r>
              <w:rPr>
                <w:noProof/>
              </w:rPr>
              <w:lastRenderedPageBreak/>
              <w:drawing>
                <wp:inline distT="0" distB="0" distL="0" distR="0" wp14:anchorId="39E9DC47" wp14:editId="3071CA87">
                  <wp:extent cx="1837569" cy="3274466"/>
                  <wp:effectExtent l="19050" t="19050" r="10795" b="215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1280" cy="3352357"/>
                          </a:xfrm>
                          <a:prstGeom prst="rect">
                            <a:avLst/>
                          </a:prstGeom>
                          <a:ln>
                            <a:solidFill>
                              <a:schemeClr val="tx1"/>
                            </a:solidFill>
                          </a:ln>
                        </pic:spPr>
                      </pic:pic>
                    </a:graphicData>
                  </a:graphic>
                </wp:inline>
              </w:drawing>
            </w:r>
          </w:p>
        </w:tc>
      </w:tr>
      <w:tr w:rsidR="003601C1" w:rsidRPr="00161D65" w14:paraId="7966812D" w14:textId="77777777" w:rsidTr="003601C1">
        <w:tc>
          <w:tcPr>
            <w:tcW w:w="3330" w:type="dxa"/>
          </w:tcPr>
          <w:p w14:paraId="2BCA94EB" w14:textId="2138D4E6" w:rsidR="003601C1" w:rsidRDefault="006E2510" w:rsidP="00C77DAD">
            <w:pPr>
              <w:rPr>
                <w:rFonts w:ascii="Verdana" w:hAnsi="Verdana"/>
                <w:b/>
                <w:noProof/>
              </w:rPr>
            </w:pPr>
            <w:r>
              <w:rPr>
                <w:rFonts w:ascii="Verdana" w:hAnsi="Verdana"/>
                <w:b/>
                <w:noProof/>
              </w:rPr>
              <w:lastRenderedPageBreak/>
              <w:t>Approvals</w:t>
            </w:r>
          </w:p>
        </w:tc>
        <w:tc>
          <w:tcPr>
            <w:tcW w:w="7128" w:type="dxa"/>
          </w:tcPr>
          <w:p w14:paraId="3D2820CB" w14:textId="77777777" w:rsidR="003601C1" w:rsidRDefault="003601C1" w:rsidP="00800967">
            <w:pPr>
              <w:rPr>
                <w:rFonts w:ascii="Verdana" w:hAnsi="Verdana"/>
                <w:noProof/>
              </w:rPr>
            </w:pPr>
            <w:r>
              <w:rPr>
                <w:rFonts w:ascii="Verdana" w:hAnsi="Verdana"/>
                <w:noProof/>
              </w:rPr>
              <w:t>This tile allows users to access the ‘Voucher Approval AF’ search page.</w:t>
            </w:r>
          </w:p>
          <w:p w14:paraId="477EEAE8" w14:textId="77777777" w:rsidR="003601C1" w:rsidRDefault="003601C1" w:rsidP="00800967">
            <w:pPr>
              <w:rPr>
                <w:rFonts w:ascii="Verdana" w:hAnsi="Verdana"/>
                <w:noProof/>
              </w:rPr>
            </w:pPr>
          </w:p>
          <w:p w14:paraId="6B0693FB" w14:textId="77777777" w:rsidR="003601C1" w:rsidRDefault="003601C1" w:rsidP="00800967">
            <w:pPr>
              <w:jc w:val="center"/>
              <w:rPr>
                <w:rFonts w:ascii="Verdana" w:hAnsi="Verdana"/>
                <w:noProof/>
              </w:rPr>
            </w:pPr>
            <w:r>
              <w:rPr>
                <w:noProof/>
              </w:rPr>
              <w:drawing>
                <wp:inline distT="0" distB="0" distL="0" distR="0" wp14:anchorId="7667EBE2" wp14:editId="0BD125EE">
                  <wp:extent cx="2523809" cy="197142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3809" cy="1971429"/>
                          </a:xfrm>
                          <a:prstGeom prst="rect">
                            <a:avLst/>
                          </a:prstGeom>
                        </pic:spPr>
                      </pic:pic>
                    </a:graphicData>
                  </a:graphic>
                </wp:inline>
              </w:drawing>
            </w:r>
          </w:p>
          <w:p w14:paraId="15BFC7F3" w14:textId="77777777" w:rsidR="003601C1" w:rsidRDefault="003601C1" w:rsidP="00800551">
            <w:pPr>
              <w:rPr>
                <w:rFonts w:ascii="Verdana" w:hAnsi="Verdana"/>
                <w:noProof/>
              </w:rPr>
            </w:pPr>
          </w:p>
        </w:tc>
      </w:tr>
    </w:tbl>
    <w:p w14:paraId="48264D88" w14:textId="77777777" w:rsidR="00800967" w:rsidRDefault="0080096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6C4A40" w:rsidRPr="00161D65" w14:paraId="61FF8F1F" w14:textId="77777777" w:rsidTr="00800967">
        <w:tc>
          <w:tcPr>
            <w:tcW w:w="3330" w:type="dxa"/>
          </w:tcPr>
          <w:p w14:paraId="4E11EF61" w14:textId="39FE639D" w:rsidR="006C4A40" w:rsidRPr="00A260B4" w:rsidRDefault="00500243" w:rsidP="00C77DAD">
            <w:pPr>
              <w:rPr>
                <w:rFonts w:ascii="Verdana" w:hAnsi="Verdana"/>
                <w:b/>
                <w:noProof/>
              </w:rPr>
            </w:pPr>
            <w:r>
              <w:rPr>
                <w:rFonts w:ascii="Verdana" w:hAnsi="Verdana"/>
                <w:b/>
                <w:noProof/>
              </w:rPr>
              <w:lastRenderedPageBreak/>
              <w:t>Payments</w:t>
            </w:r>
            <w:r w:rsidR="00674FAC">
              <w:rPr>
                <w:rFonts w:ascii="Verdana" w:hAnsi="Verdana"/>
                <w:b/>
                <w:noProof/>
              </w:rPr>
              <w:t xml:space="preserve"> </w:t>
            </w:r>
          </w:p>
        </w:tc>
        <w:tc>
          <w:tcPr>
            <w:tcW w:w="7128" w:type="dxa"/>
          </w:tcPr>
          <w:p w14:paraId="08B850D3" w14:textId="0F867DAE" w:rsidR="006C4A40" w:rsidRDefault="00E84529" w:rsidP="00800551">
            <w:pPr>
              <w:rPr>
                <w:rFonts w:ascii="Verdana" w:hAnsi="Verdana"/>
                <w:noProof/>
              </w:rPr>
            </w:pPr>
            <w:r>
              <w:rPr>
                <w:rFonts w:ascii="Verdana" w:hAnsi="Verdana"/>
                <w:noProof/>
              </w:rPr>
              <w:t xml:space="preserve">This tile </w:t>
            </w:r>
            <w:r w:rsidR="008227B9">
              <w:rPr>
                <w:rFonts w:ascii="Verdana" w:hAnsi="Verdana"/>
                <w:noProof/>
              </w:rPr>
              <w:t xml:space="preserve">allows users to inquire on SMART payment activity and initiate payment-related processes including paycycle, cancel/void payments, and setoff processing based on the user’s security access.  </w:t>
            </w:r>
          </w:p>
          <w:p w14:paraId="293E27C0" w14:textId="77777777" w:rsidR="00E84529" w:rsidRDefault="00E84529" w:rsidP="00800551">
            <w:pPr>
              <w:rPr>
                <w:rFonts w:ascii="Verdana" w:hAnsi="Verdana"/>
                <w:noProof/>
              </w:rPr>
            </w:pPr>
          </w:p>
          <w:p w14:paraId="00D07E6F" w14:textId="6AAC5315" w:rsidR="00E84529" w:rsidRDefault="008227B9" w:rsidP="00674FAC">
            <w:pPr>
              <w:jc w:val="center"/>
              <w:rPr>
                <w:rFonts w:ascii="Verdana" w:hAnsi="Verdana"/>
                <w:noProof/>
              </w:rPr>
            </w:pPr>
            <w:r>
              <w:rPr>
                <w:noProof/>
              </w:rPr>
              <w:drawing>
                <wp:inline distT="0" distB="0" distL="0" distR="0" wp14:anchorId="6FFC2B09" wp14:editId="380BF361">
                  <wp:extent cx="2504762" cy="198095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04762" cy="1980952"/>
                          </a:xfrm>
                          <a:prstGeom prst="rect">
                            <a:avLst/>
                          </a:prstGeom>
                        </pic:spPr>
                      </pic:pic>
                    </a:graphicData>
                  </a:graphic>
                </wp:inline>
              </w:drawing>
            </w:r>
          </w:p>
          <w:p w14:paraId="1558608A" w14:textId="7A7C3CA9" w:rsidR="00B32370" w:rsidRDefault="00B32370" w:rsidP="00674FAC">
            <w:pPr>
              <w:jc w:val="center"/>
              <w:rPr>
                <w:rFonts w:ascii="Verdana" w:hAnsi="Verdana"/>
                <w:noProof/>
              </w:rPr>
            </w:pPr>
          </w:p>
          <w:p w14:paraId="0B3017E2" w14:textId="7898A336" w:rsidR="00B32370" w:rsidRDefault="008227B9" w:rsidP="00674FAC">
            <w:pPr>
              <w:jc w:val="center"/>
              <w:rPr>
                <w:rFonts w:ascii="Verdana" w:hAnsi="Verdana"/>
                <w:noProof/>
              </w:rPr>
            </w:pPr>
            <w:r>
              <w:rPr>
                <w:noProof/>
              </w:rPr>
              <w:drawing>
                <wp:inline distT="0" distB="0" distL="0" distR="0" wp14:anchorId="12BA52A5" wp14:editId="216D0295">
                  <wp:extent cx="2704762" cy="2276190"/>
                  <wp:effectExtent l="19050" t="19050" r="19685"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04762" cy="2276190"/>
                          </a:xfrm>
                          <a:prstGeom prst="rect">
                            <a:avLst/>
                          </a:prstGeom>
                          <a:ln>
                            <a:solidFill>
                              <a:schemeClr val="tx1"/>
                            </a:solidFill>
                          </a:ln>
                        </pic:spPr>
                      </pic:pic>
                    </a:graphicData>
                  </a:graphic>
                </wp:inline>
              </w:drawing>
            </w:r>
          </w:p>
          <w:p w14:paraId="21194883" w14:textId="5087B250" w:rsidR="00E84529" w:rsidRPr="00E84529" w:rsidRDefault="00E84529" w:rsidP="00800551">
            <w:pPr>
              <w:rPr>
                <w:rFonts w:ascii="Verdana" w:hAnsi="Verdana"/>
                <w:noProof/>
              </w:rPr>
            </w:pPr>
          </w:p>
        </w:tc>
      </w:tr>
      <w:tr w:rsidR="00E84529" w:rsidRPr="00161D65" w14:paraId="4CD0FA3E" w14:textId="77777777" w:rsidTr="00800967">
        <w:tc>
          <w:tcPr>
            <w:tcW w:w="3330" w:type="dxa"/>
          </w:tcPr>
          <w:p w14:paraId="07A0015E" w14:textId="6F40588C" w:rsidR="00E84529" w:rsidRPr="00A260B4" w:rsidRDefault="0066338D" w:rsidP="00C77DAD">
            <w:pPr>
              <w:rPr>
                <w:rFonts w:ascii="Verdana" w:hAnsi="Verdana"/>
                <w:b/>
                <w:noProof/>
              </w:rPr>
            </w:pPr>
            <w:r>
              <w:rPr>
                <w:rFonts w:ascii="Verdana" w:hAnsi="Verdana"/>
                <w:b/>
                <w:noProof/>
              </w:rPr>
              <w:t>Interfunds</w:t>
            </w:r>
            <w:r w:rsidR="00674FAC">
              <w:rPr>
                <w:rFonts w:ascii="Verdana" w:hAnsi="Verdana"/>
                <w:b/>
                <w:noProof/>
              </w:rPr>
              <w:t xml:space="preserve"> </w:t>
            </w:r>
          </w:p>
        </w:tc>
        <w:tc>
          <w:tcPr>
            <w:tcW w:w="7128" w:type="dxa"/>
          </w:tcPr>
          <w:p w14:paraId="59F5180A" w14:textId="17F727A1" w:rsidR="00E84529" w:rsidRDefault="00467549" w:rsidP="00800551">
            <w:pPr>
              <w:rPr>
                <w:rFonts w:ascii="Verdana" w:hAnsi="Verdana"/>
                <w:noProof/>
              </w:rPr>
            </w:pPr>
            <w:r>
              <w:rPr>
                <w:rFonts w:ascii="Verdana" w:hAnsi="Verdana"/>
                <w:noProof/>
              </w:rPr>
              <w:t xml:space="preserve">This tile </w:t>
            </w:r>
            <w:r w:rsidR="00F573CF">
              <w:rPr>
                <w:rFonts w:ascii="Verdana" w:hAnsi="Verdana"/>
                <w:noProof/>
              </w:rPr>
              <w:t xml:space="preserve">allows users to </w:t>
            </w:r>
            <w:r w:rsidR="0066338D">
              <w:rPr>
                <w:rFonts w:ascii="Verdana" w:hAnsi="Verdana"/>
                <w:noProof/>
              </w:rPr>
              <w:t>access the Interfund Details Page.</w:t>
            </w:r>
          </w:p>
          <w:p w14:paraId="0D14DC3C" w14:textId="77777777" w:rsidR="00467549" w:rsidRDefault="00467549" w:rsidP="00800551">
            <w:pPr>
              <w:rPr>
                <w:rFonts w:ascii="Verdana" w:hAnsi="Verdana"/>
                <w:noProof/>
              </w:rPr>
            </w:pPr>
          </w:p>
          <w:p w14:paraId="7BF9C1DB" w14:textId="4DEAE41B" w:rsidR="00467549" w:rsidRDefault="0066338D" w:rsidP="00674FAC">
            <w:pPr>
              <w:jc w:val="center"/>
              <w:rPr>
                <w:rFonts w:ascii="Verdana" w:hAnsi="Verdana"/>
                <w:noProof/>
              </w:rPr>
            </w:pPr>
            <w:r>
              <w:rPr>
                <w:noProof/>
              </w:rPr>
              <w:drawing>
                <wp:inline distT="0" distB="0" distL="0" distR="0" wp14:anchorId="473DB3F4" wp14:editId="252D70CF">
                  <wp:extent cx="2495238" cy="1980952"/>
                  <wp:effectExtent l="0" t="0" r="635"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5238" cy="1980952"/>
                          </a:xfrm>
                          <a:prstGeom prst="rect">
                            <a:avLst/>
                          </a:prstGeom>
                        </pic:spPr>
                      </pic:pic>
                    </a:graphicData>
                  </a:graphic>
                </wp:inline>
              </w:drawing>
            </w:r>
          </w:p>
          <w:p w14:paraId="206138E9" w14:textId="797BE515" w:rsidR="00467549" w:rsidRPr="00467549" w:rsidRDefault="00467549" w:rsidP="00800551">
            <w:pPr>
              <w:rPr>
                <w:rFonts w:ascii="Verdana" w:hAnsi="Verdana"/>
                <w:noProof/>
              </w:rPr>
            </w:pPr>
          </w:p>
        </w:tc>
      </w:tr>
    </w:tbl>
    <w:p w14:paraId="109454E8" w14:textId="399D5260" w:rsidR="001A6C59" w:rsidRDefault="001A6C59"/>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E84529" w:rsidRPr="00161D65" w14:paraId="2598F38F" w14:textId="77777777" w:rsidTr="00161D65">
        <w:tc>
          <w:tcPr>
            <w:tcW w:w="3330" w:type="dxa"/>
          </w:tcPr>
          <w:p w14:paraId="1B7C7D5C" w14:textId="25EC6C0E" w:rsidR="00E84529" w:rsidRPr="00A260B4" w:rsidRDefault="0066338D" w:rsidP="00C77DAD">
            <w:pPr>
              <w:rPr>
                <w:rFonts w:ascii="Verdana" w:hAnsi="Verdana"/>
                <w:b/>
                <w:noProof/>
              </w:rPr>
            </w:pPr>
            <w:r>
              <w:rPr>
                <w:rFonts w:ascii="Verdana" w:hAnsi="Verdana"/>
                <w:b/>
                <w:noProof/>
              </w:rPr>
              <w:lastRenderedPageBreak/>
              <w:t>Suppliers</w:t>
            </w:r>
            <w:r w:rsidR="00674FAC">
              <w:rPr>
                <w:rFonts w:ascii="Verdana" w:hAnsi="Verdana"/>
                <w:b/>
                <w:noProof/>
              </w:rPr>
              <w:t xml:space="preserve"> </w:t>
            </w:r>
          </w:p>
        </w:tc>
        <w:tc>
          <w:tcPr>
            <w:tcW w:w="7128" w:type="dxa"/>
          </w:tcPr>
          <w:p w14:paraId="00B22861" w14:textId="7388AB48" w:rsidR="00467549" w:rsidRDefault="00467549" w:rsidP="00800551">
            <w:pPr>
              <w:rPr>
                <w:rFonts w:ascii="Verdana" w:hAnsi="Verdana"/>
                <w:noProof/>
              </w:rPr>
            </w:pPr>
            <w:r>
              <w:rPr>
                <w:rFonts w:ascii="Verdana" w:hAnsi="Verdana"/>
                <w:noProof/>
              </w:rPr>
              <w:t xml:space="preserve">This tile </w:t>
            </w:r>
            <w:r w:rsidR="00F573CF">
              <w:rPr>
                <w:rFonts w:ascii="Verdana" w:hAnsi="Verdana"/>
                <w:noProof/>
              </w:rPr>
              <w:t xml:space="preserve">allows users to </w:t>
            </w:r>
            <w:r w:rsidR="001A6C59">
              <w:rPr>
                <w:rFonts w:ascii="Verdana" w:hAnsi="Verdana"/>
                <w:noProof/>
              </w:rPr>
              <w:t>add and review SMART supplier records.</w:t>
            </w:r>
          </w:p>
          <w:p w14:paraId="57B77F2D" w14:textId="77777777" w:rsidR="0066338D" w:rsidRDefault="0066338D" w:rsidP="00800551">
            <w:pPr>
              <w:rPr>
                <w:rFonts w:ascii="Verdana" w:hAnsi="Verdana"/>
                <w:noProof/>
              </w:rPr>
            </w:pPr>
          </w:p>
          <w:p w14:paraId="6AF3EB6D" w14:textId="4D23FB2F" w:rsidR="00467549" w:rsidRDefault="0066338D" w:rsidP="00674FAC">
            <w:pPr>
              <w:jc w:val="center"/>
              <w:rPr>
                <w:rFonts w:ascii="Verdana" w:hAnsi="Verdana"/>
                <w:noProof/>
              </w:rPr>
            </w:pPr>
            <w:r>
              <w:rPr>
                <w:noProof/>
              </w:rPr>
              <w:drawing>
                <wp:inline distT="0" distB="0" distL="0" distR="0" wp14:anchorId="6234660A" wp14:editId="0F3B8B97">
                  <wp:extent cx="2485714" cy="196190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5714" cy="1961905"/>
                          </a:xfrm>
                          <a:prstGeom prst="rect">
                            <a:avLst/>
                          </a:prstGeom>
                        </pic:spPr>
                      </pic:pic>
                    </a:graphicData>
                  </a:graphic>
                </wp:inline>
              </w:drawing>
            </w:r>
          </w:p>
          <w:p w14:paraId="78680885" w14:textId="6C589017" w:rsidR="0066338D" w:rsidRDefault="0066338D" w:rsidP="00674FAC">
            <w:pPr>
              <w:jc w:val="center"/>
              <w:rPr>
                <w:rFonts w:ascii="Verdana" w:hAnsi="Verdana"/>
                <w:noProof/>
              </w:rPr>
            </w:pPr>
          </w:p>
          <w:p w14:paraId="2C15B0A1" w14:textId="66B844E1" w:rsidR="00467549" w:rsidRDefault="00A63EE7" w:rsidP="005521FC">
            <w:pPr>
              <w:jc w:val="center"/>
              <w:rPr>
                <w:rFonts w:ascii="Verdana" w:hAnsi="Verdana"/>
                <w:noProof/>
              </w:rPr>
            </w:pPr>
            <w:r>
              <w:pict w14:anchorId="7CDA889F">
                <v:shape id="_x0000_i1027" type="#_x0000_t75" style="width:.75pt;height:.75pt;visibility:visible;mso-wrap-style:square">
                  <v:imagedata r:id="rId21" o:title=""/>
                </v:shape>
              </w:pict>
            </w:r>
            <w:r w:rsidR="0066338D">
              <w:rPr>
                <w:noProof/>
              </w:rPr>
              <w:drawing>
                <wp:inline distT="0" distB="0" distL="0" distR="0" wp14:anchorId="147F6429" wp14:editId="5BBD6D5E">
                  <wp:extent cx="2523277" cy="5180296"/>
                  <wp:effectExtent l="19050" t="19050" r="10795" b="209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47989" cy="5231030"/>
                          </a:xfrm>
                          <a:prstGeom prst="rect">
                            <a:avLst/>
                          </a:prstGeom>
                          <a:ln>
                            <a:solidFill>
                              <a:schemeClr val="tx1"/>
                            </a:solidFill>
                          </a:ln>
                        </pic:spPr>
                      </pic:pic>
                    </a:graphicData>
                  </a:graphic>
                </wp:inline>
              </w:drawing>
            </w:r>
          </w:p>
          <w:p w14:paraId="11E1FC4E" w14:textId="0D19A683" w:rsidR="004B6B18" w:rsidRPr="00295099" w:rsidRDefault="004B6B18" w:rsidP="005521FC">
            <w:pPr>
              <w:jc w:val="center"/>
              <w:rPr>
                <w:rFonts w:ascii="Verdana" w:hAnsi="Verdana"/>
                <w:noProof/>
              </w:rPr>
            </w:pPr>
          </w:p>
        </w:tc>
      </w:tr>
    </w:tbl>
    <w:p w14:paraId="69D07A31" w14:textId="77777777" w:rsidR="003D474E" w:rsidRDefault="003D474E">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E84529" w:rsidRPr="00161D65" w14:paraId="5DAE33C7" w14:textId="77777777" w:rsidTr="00161D65">
        <w:tc>
          <w:tcPr>
            <w:tcW w:w="3330" w:type="dxa"/>
          </w:tcPr>
          <w:p w14:paraId="1ADC14E1" w14:textId="79FA1A8B" w:rsidR="00E84529" w:rsidRPr="00A260B4" w:rsidRDefault="001A6C59" w:rsidP="00C77DAD">
            <w:pPr>
              <w:rPr>
                <w:rFonts w:ascii="Verdana" w:hAnsi="Verdana"/>
                <w:b/>
                <w:noProof/>
              </w:rPr>
            </w:pPr>
            <w:r>
              <w:rPr>
                <w:rFonts w:ascii="Verdana" w:hAnsi="Verdana"/>
                <w:b/>
                <w:noProof/>
              </w:rPr>
              <w:lastRenderedPageBreak/>
              <w:t xml:space="preserve">1099 </w:t>
            </w:r>
          </w:p>
        </w:tc>
        <w:tc>
          <w:tcPr>
            <w:tcW w:w="7128" w:type="dxa"/>
          </w:tcPr>
          <w:p w14:paraId="3F549B06" w14:textId="79956FF7" w:rsidR="00E84529" w:rsidRDefault="00074AC1" w:rsidP="00800551">
            <w:pPr>
              <w:rPr>
                <w:rFonts w:ascii="Verdana" w:hAnsi="Verdana"/>
                <w:noProof/>
              </w:rPr>
            </w:pPr>
            <w:r>
              <w:rPr>
                <w:rFonts w:ascii="Verdana" w:hAnsi="Verdana"/>
                <w:noProof/>
              </w:rPr>
              <w:t xml:space="preserve">This tile </w:t>
            </w:r>
            <w:r w:rsidR="00F573CF">
              <w:rPr>
                <w:rFonts w:ascii="Verdana" w:hAnsi="Verdana"/>
                <w:noProof/>
              </w:rPr>
              <w:t>allows use</w:t>
            </w:r>
            <w:r w:rsidR="001A6C59">
              <w:rPr>
                <w:rFonts w:ascii="Verdana" w:hAnsi="Verdana"/>
                <w:noProof/>
              </w:rPr>
              <w:t>rs to acccess 1099-related inquiries and supplier records.</w:t>
            </w:r>
          </w:p>
          <w:p w14:paraId="4DF049EB" w14:textId="0B36644E" w:rsidR="00074AC1" w:rsidRDefault="00074AC1" w:rsidP="00800551">
            <w:pPr>
              <w:rPr>
                <w:rFonts w:ascii="Verdana" w:hAnsi="Verdana"/>
                <w:noProof/>
              </w:rPr>
            </w:pPr>
          </w:p>
          <w:p w14:paraId="40B2B6D7" w14:textId="5AE53632" w:rsidR="00B23587" w:rsidRDefault="001A6C59" w:rsidP="001A6C59">
            <w:pPr>
              <w:jc w:val="center"/>
              <w:rPr>
                <w:rFonts w:ascii="Verdana" w:hAnsi="Verdana"/>
                <w:noProof/>
              </w:rPr>
            </w:pPr>
            <w:r>
              <w:rPr>
                <w:noProof/>
              </w:rPr>
              <w:drawing>
                <wp:inline distT="0" distB="0" distL="0" distR="0" wp14:anchorId="1074E44C" wp14:editId="6F66EED4">
                  <wp:extent cx="2476190" cy="1971429"/>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76190" cy="1971429"/>
                          </a:xfrm>
                          <a:prstGeom prst="rect">
                            <a:avLst/>
                          </a:prstGeom>
                        </pic:spPr>
                      </pic:pic>
                    </a:graphicData>
                  </a:graphic>
                </wp:inline>
              </w:drawing>
            </w:r>
          </w:p>
          <w:p w14:paraId="265D0DAF" w14:textId="1734D1B2" w:rsidR="001A6C59" w:rsidRDefault="001A6C59" w:rsidP="001A6C59">
            <w:pPr>
              <w:jc w:val="center"/>
              <w:rPr>
                <w:rFonts w:ascii="Verdana" w:hAnsi="Verdana"/>
                <w:noProof/>
              </w:rPr>
            </w:pPr>
          </w:p>
          <w:p w14:paraId="605D651D" w14:textId="40265E70" w:rsidR="001A6C59" w:rsidRDefault="001A6C59" w:rsidP="001A6C59">
            <w:pPr>
              <w:jc w:val="center"/>
              <w:rPr>
                <w:rFonts w:ascii="Verdana" w:hAnsi="Verdana"/>
                <w:noProof/>
              </w:rPr>
            </w:pPr>
            <w:r>
              <w:rPr>
                <w:noProof/>
              </w:rPr>
              <w:drawing>
                <wp:inline distT="0" distB="0" distL="0" distR="0" wp14:anchorId="6082E11E" wp14:editId="0650A21F">
                  <wp:extent cx="2733333" cy="952381"/>
                  <wp:effectExtent l="19050" t="19050" r="10160" b="196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33333" cy="952381"/>
                          </a:xfrm>
                          <a:prstGeom prst="rect">
                            <a:avLst/>
                          </a:prstGeom>
                          <a:ln>
                            <a:solidFill>
                              <a:schemeClr val="tx1"/>
                            </a:solidFill>
                          </a:ln>
                        </pic:spPr>
                      </pic:pic>
                    </a:graphicData>
                  </a:graphic>
                </wp:inline>
              </w:drawing>
            </w:r>
            <w:r>
              <w:rPr>
                <w:noProof/>
              </w:rPr>
              <w:drawing>
                <wp:inline distT="0" distB="0" distL="0" distR="0" wp14:anchorId="1B01CBC0" wp14:editId="5EB21F1F">
                  <wp:extent cx="2733333" cy="2257143"/>
                  <wp:effectExtent l="19050" t="19050" r="10160" b="1016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33333" cy="2257143"/>
                          </a:xfrm>
                          <a:prstGeom prst="rect">
                            <a:avLst/>
                          </a:prstGeom>
                          <a:ln>
                            <a:solidFill>
                              <a:schemeClr val="tx1"/>
                            </a:solidFill>
                          </a:ln>
                        </pic:spPr>
                      </pic:pic>
                    </a:graphicData>
                  </a:graphic>
                </wp:inline>
              </w:drawing>
            </w:r>
          </w:p>
          <w:p w14:paraId="0819B7D6" w14:textId="4607727D" w:rsidR="00074AC1" w:rsidRPr="00295099" w:rsidRDefault="00074AC1" w:rsidP="00800551">
            <w:pPr>
              <w:rPr>
                <w:rFonts w:ascii="Verdana" w:hAnsi="Verdana"/>
                <w:noProof/>
              </w:rPr>
            </w:pPr>
          </w:p>
        </w:tc>
      </w:tr>
    </w:tbl>
    <w:p w14:paraId="19667A1A" w14:textId="77777777" w:rsidR="009D7870" w:rsidRDefault="009D7870">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E84529" w:rsidRPr="00161D65" w14:paraId="68DD9045" w14:textId="77777777" w:rsidTr="00161D65">
        <w:tc>
          <w:tcPr>
            <w:tcW w:w="3330" w:type="dxa"/>
          </w:tcPr>
          <w:p w14:paraId="376C3B1C" w14:textId="3951FD12" w:rsidR="00E84529" w:rsidRPr="00A260B4" w:rsidRDefault="001A6C59" w:rsidP="00C77DAD">
            <w:pPr>
              <w:rPr>
                <w:rFonts w:ascii="Verdana" w:hAnsi="Verdana"/>
                <w:b/>
                <w:noProof/>
              </w:rPr>
            </w:pPr>
            <w:r>
              <w:rPr>
                <w:rFonts w:ascii="Verdana" w:hAnsi="Verdana"/>
                <w:b/>
                <w:noProof/>
              </w:rPr>
              <w:lastRenderedPageBreak/>
              <w:t>Accounts Payable WorkCenter</w:t>
            </w:r>
          </w:p>
        </w:tc>
        <w:tc>
          <w:tcPr>
            <w:tcW w:w="7128" w:type="dxa"/>
          </w:tcPr>
          <w:p w14:paraId="499843D9" w14:textId="22F0FF31" w:rsidR="00E84529" w:rsidRDefault="00C3618C" w:rsidP="00800551">
            <w:pPr>
              <w:rPr>
                <w:rFonts w:ascii="Verdana" w:hAnsi="Verdana"/>
                <w:noProof/>
              </w:rPr>
            </w:pPr>
            <w:r>
              <w:rPr>
                <w:rFonts w:ascii="Verdana" w:hAnsi="Verdana"/>
                <w:noProof/>
              </w:rPr>
              <w:t xml:space="preserve">This tile </w:t>
            </w:r>
            <w:r w:rsidR="00F573CF">
              <w:rPr>
                <w:rFonts w:ascii="Verdana" w:hAnsi="Verdana"/>
                <w:noProof/>
              </w:rPr>
              <w:t xml:space="preserve">allows users to </w:t>
            </w:r>
            <w:r w:rsidR="009D7870">
              <w:rPr>
                <w:rFonts w:ascii="Verdana" w:hAnsi="Verdana"/>
                <w:noProof/>
              </w:rPr>
              <w:t>access the Accounts Payable WorkCenter that was introduced with the upgrade to Peoplesoft 9.2.  It allows users to view work in process and navigate to some commonly used SMART screens, and some AP Reports and Queries.</w:t>
            </w:r>
          </w:p>
          <w:p w14:paraId="656B5B39" w14:textId="77777777" w:rsidR="00C3618C" w:rsidRDefault="00C3618C" w:rsidP="00800551">
            <w:pPr>
              <w:rPr>
                <w:rFonts w:ascii="Verdana" w:hAnsi="Verdana"/>
                <w:noProof/>
              </w:rPr>
            </w:pPr>
          </w:p>
          <w:p w14:paraId="6B4EE474" w14:textId="197CC3C6" w:rsidR="00C3618C" w:rsidRDefault="00AC5001" w:rsidP="00674FAC">
            <w:pPr>
              <w:jc w:val="center"/>
              <w:rPr>
                <w:rFonts w:ascii="Verdana" w:hAnsi="Verdana"/>
                <w:noProof/>
              </w:rPr>
            </w:pPr>
            <w:r>
              <w:rPr>
                <w:noProof/>
              </w:rPr>
              <w:drawing>
                <wp:inline distT="0" distB="0" distL="0" distR="0" wp14:anchorId="626F30C9" wp14:editId="5EAF6F27">
                  <wp:extent cx="2447619" cy="19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47619" cy="1952381"/>
                          </a:xfrm>
                          <a:prstGeom prst="rect">
                            <a:avLst/>
                          </a:prstGeom>
                        </pic:spPr>
                      </pic:pic>
                    </a:graphicData>
                  </a:graphic>
                </wp:inline>
              </w:drawing>
            </w:r>
          </w:p>
          <w:p w14:paraId="4E247D09" w14:textId="0FB9F027" w:rsidR="00C3618C" w:rsidRPr="00295099" w:rsidRDefault="00C3618C" w:rsidP="00800551">
            <w:pPr>
              <w:rPr>
                <w:rFonts w:ascii="Verdana" w:hAnsi="Verdana"/>
                <w:noProof/>
              </w:rPr>
            </w:pPr>
          </w:p>
        </w:tc>
      </w:tr>
      <w:tr w:rsidR="00674FAC" w:rsidRPr="00161D65" w14:paraId="5341FA1B" w14:textId="77777777" w:rsidTr="00161D65">
        <w:tc>
          <w:tcPr>
            <w:tcW w:w="3330" w:type="dxa"/>
          </w:tcPr>
          <w:p w14:paraId="3292FB59" w14:textId="49222197" w:rsidR="00674FAC" w:rsidRDefault="00800967" w:rsidP="00674FAC">
            <w:pPr>
              <w:rPr>
                <w:rFonts w:ascii="Verdana" w:hAnsi="Verdana"/>
                <w:b/>
                <w:noProof/>
              </w:rPr>
            </w:pPr>
            <w:r>
              <w:rPr>
                <w:rFonts w:ascii="Verdana" w:hAnsi="Verdana"/>
                <w:b/>
                <w:noProof/>
              </w:rPr>
              <w:t xml:space="preserve">AP Reports </w:t>
            </w:r>
          </w:p>
        </w:tc>
        <w:tc>
          <w:tcPr>
            <w:tcW w:w="7128" w:type="dxa"/>
          </w:tcPr>
          <w:p w14:paraId="1E23115E" w14:textId="2789D4AD" w:rsidR="00674FAC" w:rsidRDefault="00674FAC" w:rsidP="00674FAC">
            <w:pPr>
              <w:rPr>
                <w:rFonts w:ascii="Verdana" w:hAnsi="Verdana"/>
                <w:noProof/>
              </w:rPr>
            </w:pPr>
            <w:r>
              <w:rPr>
                <w:rFonts w:ascii="Verdana" w:hAnsi="Verdana"/>
                <w:noProof/>
              </w:rPr>
              <w:t xml:space="preserve">This tile </w:t>
            </w:r>
            <w:r w:rsidR="00F573CF">
              <w:rPr>
                <w:rFonts w:ascii="Verdana" w:hAnsi="Verdana"/>
                <w:noProof/>
              </w:rPr>
              <w:t xml:space="preserve">allows </w:t>
            </w:r>
            <w:r w:rsidR="00800967">
              <w:rPr>
                <w:rFonts w:ascii="Verdana" w:hAnsi="Verdana"/>
                <w:noProof/>
              </w:rPr>
              <w:t>users to run various Accounts Payable Reports and access the Process Monitor, Report Manager, Queries, the Reporting Catalog, and Reporting Job Aids.</w:t>
            </w:r>
          </w:p>
          <w:p w14:paraId="2BA29497" w14:textId="67A21EA7" w:rsidR="00674FAC" w:rsidRDefault="00832432" w:rsidP="00800967">
            <w:pPr>
              <w:jc w:val="center"/>
              <w:rPr>
                <w:rFonts w:ascii="Verdana" w:hAnsi="Verdana"/>
                <w:noProof/>
              </w:rPr>
            </w:pPr>
            <w:r>
              <w:rPr>
                <w:noProof/>
              </w:rPr>
              <w:drawing>
                <wp:inline distT="0" distB="0" distL="0" distR="0" wp14:anchorId="517ECCE0" wp14:editId="08868FE9">
                  <wp:extent cx="2466667" cy="19619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66667" cy="1961905"/>
                          </a:xfrm>
                          <a:prstGeom prst="rect">
                            <a:avLst/>
                          </a:prstGeom>
                        </pic:spPr>
                      </pic:pic>
                    </a:graphicData>
                  </a:graphic>
                </wp:inline>
              </w:drawing>
            </w:r>
          </w:p>
          <w:p w14:paraId="5C60C696" w14:textId="002287CF" w:rsidR="00B23587" w:rsidRDefault="00B23587" w:rsidP="00674FAC">
            <w:pPr>
              <w:jc w:val="center"/>
              <w:rPr>
                <w:rFonts w:ascii="Verdana" w:hAnsi="Verdana"/>
                <w:noProof/>
              </w:rPr>
            </w:pPr>
          </w:p>
          <w:p w14:paraId="47C0D236" w14:textId="6CCF18D1" w:rsidR="00B23587" w:rsidRDefault="00800967" w:rsidP="00674FAC">
            <w:pPr>
              <w:jc w:val="center"/>
              <w:rPr>
                <w:noProof/>
              </w:rPr>
            </w:pPr>
            <w:r>
              <w:rPr>
                <w:noProof/>
              </w:rPr>
              <w:lastRenderedPageBreak/>
              <w:drawing>
                <wp:inline distT="0" distB="0" distL="0" distR="0" wp14:anchorId="653CC6B2" wp14:editId="46394D60">
                  <wp:extent cx="1880482" cy="5227460"/>
                  <wp:effectExtent l="19050" t="19050" r="24765" b="1143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19290" cy="5335341"/>
                          </a:xfrm>
                          <a:prstGeom prst="rect">
                            <a:avLst/>
                          </a:prstGeom>
                          <a:ln>
                            <a:solidFill>
                              <a:schemeClr val="tx1"/>
                            </a:solidFill>
                          </a:ln>
                        </pic:spPr>
                      </pic:pic>
                    </a:graphicData>
                  </a:graphic>
                </wp:inline>
              </w:drawing>
            </w:r>
          </w:p>
          <w:p w14:paraId="2D303282" w14:textId="77777777" w:rsidR="00674FAC" w:rsidRDefault="00800967" w:rsidP="005521FC">
            <w:pPr>
              <w:jc w:val="center"/>
              <w:rPr>
                <w:rFonts w:ascii="Verdana" w:hAnsi="Verdana"/>
                <w:noProof/>
              </w:rPr>
            </w:pPr>
            <w:r>
              <w:rPr>
                <w:noProof/>
              </w:rPr>
              <w:drawing>
                <wp:inline distT="0" distB="0" distL="0" distR="0" wp14:anchorId="6F7BAF07" wp14:editId="61D16A67">
                  <wp:extent cx="1880336" cy="1740535"/>
                  <wp:effectExtent l="19050" t="19050" r="24765" b="1206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17668" cy="1775091"/>
                          </a:xfrm>
                          <a:prstGeom prst="rect">
                            <a:avLst/>
                          </a:prstGeom>
                          <a:ln>
                            <a:solidFill>
                              <a:schemeClr val="tx1"/>
                            </a:solidFill>
                          </a:ln>
                        </pic:spPr>
                      </pic:pic>
                    </a:graphicData>
                  </a:graphic>
                </wp:inline>
              </w:drawing>
            </w:r>
          </w:p>
          <w:p w14:paraId="4BC15761" w14:textId="2F7B6DCE" w:rsidR="005521FC" w:rsidRDefault="005521FC" w:rsidP="005521FC">
            <w:pPr>
              <w:jc w:val="center"/>
              <w:rPr>
                <w:rFonts w:ascii="Verdana" w:hAnsi="Verdana"/>
                <w:noProof/>
              </w:rPr>
            </w:pPr>
          </w:p>
        </w:tc>
      </w:tr>
    </w:tbl>
    <w:p w14:paraId="2E7F54EC" w14:textId="77777777" w:rsidR="005521FC" w:rsidRDefault="005521FC">
      <w:r>
        <w:lastRenderedPageBreak/>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5521FC" w:rsidRPr="00161D65" w14:paraId="43C0748C" w14:textId="77777777" w:rsidTr="00161D65">
        <w:tc>
          <w:tcPr>
            <w:tcW w:w="3330" w:type="dxa"/>
          </w:tcPr>
          <w:p w14:paraId="6C524697" w14:textId="3690EE91" w:rsidR="005521FC" w:rsidRDefault="004B6B18" w:rsidP="00674FAC">
            <w:pPr>
              <w:rPr>
                <w:rFonts w:ascii="Verdana" w:hAnsi="Verdana"/>
                <w:b/>
                <w:noProof/>
              </w:rPr>
            </w:pPr>
            <w:r>
              <w:rPr>
                <w:rFonts w:ascii="Verdana" w:hAnsi="Verdana"/>
                <w:b/>
                <w:noProof/>
              </w:rPr>
              <w:lastRenderedPageBreak/>
              <w:t>AP Training Resources</w:t>
            </w:r>
          </w:p>
        </w:tc>
        <w:tc>
          <w:tcPr>
            <w:tcW w:w="7128" w:type="dxa"/>
          </w:tcPr>
          <w:p w14:paraId="50784E6D" w14:textId="27CCFE89" w:rsidR="005521FC" w:rsidRDefault="005521FC" w:rsidP="00674FAC">
            <w:pPr>
              <w:rPr>
                <w:rFonts w:ascii="Verdana" w:hAnsi="Verdana"/>
                <w:noProof/>
              </w:rPr>
            </w:pPr>
            <w:r>
              <w:rPr>
                <w:rFonts w:ascii="Verdana" w:hAnsi="Verdana"/>
                <w:noProof/>
              </w:rPr>
              <w:t>This tile links to the Accounts Payable t</w:t>
            </w:r>
            <w:r w:rsidR="00832432">
              <w:rPr>
                <w:rFonts w:ascii="Verdana" w:hAnsi="Verdana"/>
                <w:noProof/>
              </w:rPr>
              <w:t>raining materials page on SMART</w:t>
            </w:r>
            <w:r w:rsidRPr="00832432">
              <w:rPr>
                <w:rFonts w:ascii="Verdana" w:hAnsi="Verdana"/>
                <w:i/>
                <w:noProof/>
              </w:rPr>
              <w:t>Web</w:t>
            </w:r>
            <w:r>
              <w:rPr>
                <w:rFonts w:ascii="Verdana" w:hAnsi="Verdana"/>
                <w:noProof/>
              </w:rPr>
              <w:t>.</w:t>
            </w:r>
          </w:p>
          <w:p w14:paraId="7E7D2BAC" w14:textId="5BDA2C47" w:rsidR="005521FC" w:rsidRDefault="005521FC" w:rsidP="005521FC">
            <w:pPr>
              <w:rPr>
                <w:rFonts w:ascii="Verdana" w:hAnsi="Verdana"/>
                <w:noProof/>
              </w:rPr>
            </w:pPr>
          </w:p>
          <w:p w14:paraId="05C1189F" w14:textId="153FA18A" w:rsidR="005521FC" w:rsidRDefault="005521FC" w:rsidP="005521FC">
            <w:pPr>
              <w:jc w:val="center"/>
              <w:rPr>
                <w:rFonts w:ascii="Verdana" w:hAnsi="Verdana"/>
                <w:noProof/>
              </w:rPr>
            </w:pPr>
            <w:r>
              <w:rPr>
                <w:noProof/>
              </w:rPr>
              <w:drawing>
                <wp:inline distT="0" distB="0" distL="0" distR="0" wp14:anchorId="2FC79C2A" wp14:editId="17BECB55">
                  <wp:extent cx="2476190" cy="1971429"/>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76190" cy="1971429"/>
                          </a:xfrm>
                          <a:prstGeom prst="rect">
                            <a:avLst/>
                          </a:prstGeom>
                        </pic:spPr>
                      </pic:pic>
                    </a:graphicData>
                  </a:graphic>
                </wp:inline>
              </w:drawing>
            </w:r>
          </w:p>
          <w:p w14:paraId="2B6B058B" w14:textId="326597CC" w:rsidR="005521FC" w:rsidRDefault="005521FC" w:rsidP="00674FAC">
            <w:pPr>
              <w:rPr>
                <w:rFonts w:ascii="Verdana" w:hAnsi="Verdana"/>
                <w:noProof/>
              </w:rPr>
            </w:pPr>
          </w:p>
        </w:tc>
      </w:tr>
      <w:tr w:rsidR="005521FC" w:rsidRPr="00161D65" w14:paraId="1D035D19" w14:textId="77777777" w:rsidTr="00161D65">
        <w:tc>
          <w:tcPr>
            <w:tcW w:w="3330" w:type="dxa"/>
          </w:tcPr>
          <w:p w14:paraId="2D5FCB15" w14:textId="0F4383E8" w:rsidR="005521FC" w:rsidRDefault="004B6B18" w:rsidP="00674FAC">
            <w:pPr>
              <w:rPr>
                <w:rFonts w:ascii="Verdana" w:hAnsi="Verdana"/>
                <w:b/>
                <w:noProof/>
              </w:rPr>
            </w:pPr>
            <w:r>
              <w:rPr>
                <w:rFonts w:ascii="Verdana" w:hAnsi="Verdana"/>
                <w:b/>
                <w:noProof/>
              </w:rPr>
              <w:t>Utilities</w:t>
            </w:r>
          </w:p>
        </w:tc>
        <w:tc>
          <w:tcPr>
            <w:tcW w:w="7128" w:type="dxa"/>
          </w:tcPr>
          <w:p w14:paraId="18CABAC4" w14:textId="77777777" w:rsidR="005521FC" w:rsidRDefault="005521FC" w:rsidP="00674FAC">
            <w:pPr>
              <w:rPr>
                <w:rFonts w:ascii="Verdana" w:hAnsi="Verdana"/>
                <w:noProof/>
              </w:rPr>
            </w:pPr>
            <w:r>
              <w:rPr>
                <w:rFonts w:ascii="Verdana" w:hAnsi="Verdana"/>
                <w:noProof/>
              </w:rPr>
              <w:t xml:space="preserve">This tile allows users to access the Process Monitor, Queries, Report Manager, Worklist, nVision Report Request, BI Analytics, Reporting Catalog, and Reporting Job Aids. </w:t>
            </w:r>
          </w:p>
          <w:p w14:paraId="1FFB5FFF" w14:textId="5CC1EEEE" w:rsidR="005521FC" w:rsidRDefault="005521FC" w:rsidP="00674FAC">
            <w:pPr>
              <w:rPr>
                <w:rFonts w:ascii="Verdana" w:hAnsi="Verdana"/>
                <w:noProof/>
              </w:rPr>
            </w:pPr>
          </w:p>
          <w:p w14:paraId="16F80817" w14:textId="318DFBA1" w:rsidR="005521FC" w:rsidRDefault="005521FC" w:rsidP="005521FC">
            <w:pPr>
              <w:jc w:val="center"/>
              <w:rPr>
                <w:rFonts w:ascii="Verdana" w:hAnsi="Verdana"/>
                <w:noProof/>
              </w:rPr>
            </w:pPr>
            <w:r>
              <w:rPr>
                <w:noProof/>
              </w:rPr>
              <w:drawing>
                <wp:inline distT="0" distB="0" distL="0" distR="0" wp14:anchorId="36AF112C" wp14:editId="75329BC0">
                  <wp:extent cx="2476190" cy="1971429"/>
                  <wp:effectExtent l="0" t="0" r="63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6190" cy="1971429"/>
                          </a:xfrm>
                          <a:prstGeom prst="rect">
                            <a:avLst/>
                          </a:prstGeom>
                        </pic:spPr>
                      </pic:pic>
                    </a:graphicData>
                  </a:graphic>
                </wp:inline>
              </w:drawing>
            </w:r>
          </w:p>
          <w:p w14:paraId="2EFB121A" w14:textId="36BFEBC2" w:rsidR="005521FC" w:rsidRDefault="005521FC" w:rsidP="005521FC">
            <w:pPr>
              <w:jc w:val="center"/>
              <w:rPr>
                <w:rFonts w:ascii="Verdana" w:hAnsi="Verdana"/>
                <w:noProof/>
              </w:rPr>
            </w:pPr>
          </w:p>
          <w:p w14:paraId="7BC44CD0" w14:textId="0A090588" w:rsidR="005521FC" w:rsidRDefault="005521FC" w:rsidP="005521FC">
            <w:pPr>
              <w:jc w:val="center"/>
              <w:rPr>
                <w:rFonts w:ascii="Verdana" w:hAnsi="Verdana"/>
                <w:noProof/>
              </w:rPr>
            </w:pPr>
            <w:r>
              <w:rPr>
                <w:noProof/>
              </w:rPr>
              <w:lastRenderedPageBreak/>
              <w:drawing>
                <wp:inline distT="0" distB="0" distL="0" distR="0" wp14:anchorId="1725E4FC" wp14:editId="1854F3F2">
                  <wp:extent cx="1894783" cy="3542113"/>
                  <wp:effectExtent l="19050" t="19050" r="10795" b="203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22656" cy="3594218"/>
                          </a:xfrm>
                          <a:prstGeom prst="rect">
                            <a:avLst/>
                          </a:prstGeom>
                          <a:ln>
                            <a:solidFill>
                              <a:schemeClr val="tx1"/>
                            </a:solidFill>
                          </a:ln>
                        </pic:spPr>
                      </pic:pic>
                    </a:graphicData>
                  </a:graphic>
                </wp:inline>
              </w:drawing>
            </w:r>
          </w:p>
          <w:p w14:paraId="4EFEB8C6" w14:textId="56D743C4" w:rsidR="005521FC" w:rsidRDefault="005521FC" w:rsidP="00674FAC">
            <w:pPr>
              <w:rPr>
                <w:rFonts w:ascii="Verdana" w:hAnsi="Verdana"/>
                <w:noProof/>
              </w:rPr>
            </w:pPr>
          </w:p>
        </w:tc>
      </w:tr>
    </w:tbl>
    <w:p w14:paraId="18AD2A41" w14:textId="5EBF85C4" w:rsidR="00D35629" w:rsidRDefault="00D35629" w:rsidP="003D474E">
      <w:pPr>
        <w:rPr>
          <w:rFonts w:ascii="Calibri" w:hAnsi="Calibri"/>
        </w:rPr>
      </w:pPr>
    </w:p>
    <w:sectPr w:rsidR="00D35629" w:rsidSect="00800E42">
      <w:footerReference w:type="default" r:id="rId3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24DE" w14:textId="77777777" w:rsidR="00CC6B74" w:rsidRDefault="00CC6B74" w:rsidP="00996C68">
      <w:r>
        <w:separator/>
      </w:r>
    </w:p>
  </w:endnote>
  <w:endnote w:type="continuationSeparator" w:id="0">
    <w:p w14:paraId="31FBAA9D" w14:textId="77777777" w:rsidR="00CC6B74" w:rsidRDefault="00CC6B74"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194B"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C268F6">
      <w:rPr>
        <w:rFonts w:ascii="Calibri" w:hAnsi="Calibri"/>
        <w:b/>
        <w:noProof/>
        <w:sz w:val="20"/>
        <w:szCs w:val="20"/>
      </w:rPr>
      <w:t>1</w:t>
    </w:r>
    <w:r w:rsidRPr="00996C68">
      <w:rPr>
        <w:rFonts w:ascii="Calibri" w:hAnsi="Calibri"/>
        <w:b/>
        <w:sz w:val="20"/>
        <w:szCs w:val="20"/>
      </w:rPr>
      <w:fldChar w:fldCharType="end"/>
    </w:r>
  </w:p>
  <w:p w14:paraId="05AE0F77"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B0BD" w14:textId="77777777" w:rsidR="00CC6B74" w:rsidRDefault="00CC6B74" w:rsidP="00996C68">
      <w:r>
        <w:separator/>
      </w:r>
    </w:p>
  </w:footnote>
  <w:footnote w:type="continuationSeparator" w:id="0">
    <w:p w14:paraId="714243F7" w14:textId="77777777" w:rsidR="00CC6B74" w:rsidRDefault="00CC6B74"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611DE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i1029" type="#_x0000_t75" style="width:.75pt;height:.75pt;visibility:visible;mso-wrap-style:square" o:bullet="t">
        <v:imagedata r:id="rId1" o:title=""/>
      </v:shape>
    </w:pict>
  </w:numPicBullet>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5715"/>
    <w:multiLevelType w:val="hybridMultilevel"/>
    <w:tmpl w:val="EBA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7"/>
  </w:num>
  <w:num w:numId="6">
    <w:abstractNumId w:val="11"/>
  </w:num>
  <w:num w:numId="7">
    <w:abstractNumId w:val="1"/>
  </w:num>
  <w:num w:numId="8">
    <w:abstractNumId w:val="12"/>
  </w:num>
  <w:num w:numId="9">
    <w:abstractNumId w:val="13"/>
  </w:num>
  <w:num w:numId="10">
    <w:abstractNumId w:val="9"/>
  </w:num>
  <w:num w:numId="11">
    <w:abstractNumId w:val="4"/>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015E9"/>
    <w:rsid w:val="0001126C"/>
    <w:rsid w:val="000202B3"/>
    <w:rsid w:val="00031167"/>
    <w:rsid w:val="00031FC3"/>
    <w:rsid w:val="00037422"/>
    <w:rsid w:val="00046D31"/>
    <w:rsid w:val="000573A2"/>
    <w:rsid w:val="00065551"/>
    <w:rsid w:val="00067600"/>
    <w:rsid w:val="00071FEF"/>
    <w:rsid w:val="00074AC1"/>
    <w:rsid w:val="00075D8E"/>
    <w:rsid w:val="00076DE4"/>
    <w:rsid w:val="00097987"/>
    <w:rsid w:val="000A40AE"/>
    <w:rsid w:val="000A4D3B"/>
    <w:rsid w:val="000A7AED"/>
    <w:rsid w:val="000B12F4"/>
    <w:rsid w:val="000B19FB"/>
    <w:rsid w:val="000B6616"/>
    <w:rsid w:val="000B70C4"/>
    <w:rsid w:val="000D205E"/>
    <w:rsid w:val="000E69AC"/>
    <w:rsid w:val="000E7D16"/>
    <w:rsid w:val="000F03C0"/>
    <w:rsid w:val="000F293F"/>
    <w:rsid w:val="000F3F4C"/>
    <w:rsid w:val="000F77D1"/>
    <w:rsid w:val="00111160"/>
    <w:rsid w:val="001251AD"/>
    <w:rsid w:val="00131B6F"/>
    <w:rsid w:val="001320A7"/>
    <w:rsid w:val="00136423"/>
    <w:rsid w:val="00144BF1"/>
    <w:rsid w:val="00145465"/>
    <w:rsid w:val="00150304"/>
    <w:rsid w:val="00157F39"/>
    <w:rsid w:val="00161D65"/>
    <w:rsid w:val="00174F1B"/>
    <w:rsid w:val="00177E60"/>
    <w:rsid w:val="0018004C"/>
    <w:rsid w:val="00197B74"/>
    <w:rsid w:val="001A135E"/>
    <w:rsid w:val="001A6C59"/>
    <w:rsid w:val="001A6CF3"/>
    <w:rsid w:val="001B52C2"/>
    <w:rsid w:val="001C4A0F"/>
    <w:rsid w:val="001D4AD4"/>
    <w:rsid w:val="001E1893"/>
    <w:rsid w:val="001E6AFC"/>
    <w:rsid w:val="001F055C"/>
    <w:rsid w:val="001F69A1"/>
    <w:rsid w:val="00222809"/>
    <w:rsid w:val="002259E7"/>
    <w:rsid w:val="00226187"/>
    <w:rsid w:val="00233313"/>
    <w:rsid w:val="002375EF"/>
    <w:rsid w:val="002407E4"/>
    <w:rsid w:val="00246CBA"/>
    <w:rsid w:val="00247619"/>
    <w:rsid w:val="0024780E"/>
    <w:rsid w:val="00254DE3"/>
    <w:rsid w:val="0025693C"/>
    <w:rsid w:val="00261D44"/>
    <w:rsid w:val="00263863"/>
    <w:rsid w:val="00265739"/>
    <w:rsid w:val="00271391"/>
    <w:rsid w:val="00290E9D"/>
    <w:rsid w:val="00295099"/>
    <w:rsid w:val="002D3E2F"/>
    <w:rsid w:val="002E13D2"/>
    <w:rsid w:val="00305881"/>
    <w:rsid w:val="003064CA"/>
    <w:rsid w:val="00310EBC"/>
    <w:rsid w:val="00312661"/>
    <w:rsid w:val="0033639B"/>
    <w:rsid w:val="00341BE7"/>
    <w:rsid w:val="00342FC1"/>
    <w:rsid w:val="00345821"/>
    <w:rsid w:val="00351DE4"/>
    <w:rsid w:val="003520A0"/>
    <w:rsid w:val="003549D3"/>
    <w:rsid w:val="003601C1"/>
    <w:rsid w:val="003738F2"/>
    <w:rsid w:val="0039653E"/>
    <w:rsid w:val="003A091C"/>
    <w:rsid w:val="003A37DE"/>
    <w:rsid w:val="003B15D7"/>
    <w:rsid w:val="003B39E1"/>
    <w:rsid w:val="003C53AA"/>
    <w:rsid w:val="003D474E"/>
    <w:rsid w:val="003E2E95"/>
    <w:rsid w:val="003F2AA2"/>
    <w:rsid w:val="0040197F"/>
    <w:rsid w:val="004066B9"/>
    <w:rsid w:val="004128EE"/>
    <w:rsid w:val="00424890"/>
    <w:rsid w:val="0044112F"/>
    <w:rsid w:val="004443B6"/>
    <w:rsid w:val="004649F4"/>
    <w:rsid w:val="00466533"/>
    <w:rsid w:val="00467549"/>
    <w:rsid w:val="00477197"/>
    <w:rsid w:val="00477683"/>
    <w:rsid w:val="00477DAF"/>
    <w:rsid w:val="004847C7"/>
    <w:rsid w:val="0049585B"/>
    <w:rsid w:val="004A0B6D"/>
    <w:rsid w:val="004A43A5"/>
    <w:rsid w:val="004B6B18"/>
    <w:rsid w:val="004C084E"/>
    <w:rsid w:val="004C0BC4"/>
    <w:rsid w:val="004C7AB2"/>
    <w:rsid w:val="004C7C82"/>
    <w:rsid w:val="004E2570"/>
    <w:rsid w:val="004E60F1"/>
    <w:rsid w:val="004F47B6"/>
    <w:rsid w:val="00500243"/>
    <w:rsid w:val="00520D68"/>
    <w:rsid w:val="00535F16"/>
    <w:rsid w:val="005521FC"/>
    <w:rsid w:val="005544A6"/>
    <w:rsid w:val="005559DD"/>
    <w:rsid w:val="005618A9"/>
    <w:rsid w:val="00561B13"/>
    <w:rsid w:val="00570411"/>
    <w:rsid w:val="00584192"/>
    <w:rsid w:val="00590691"/>
    <w:rsid w:val="00595AC9"/>
    <w:rsid w:val="005A4BB8"/>
    <w:rsid w:val="005A65E5"/>
    <w:rsid w:val="005B6186"/>
    <w:rsid w:val="005B714B"/>
    <w:rsid w:val="005C4C83"/>
    <w:rsid w:val="005C6EBC"/>
    <w:rsid w:val="005D168D"/>
    <w:rsid w:val="005D69D6"/>
    <w:rsid w:val="005E2CAF"/>
    <w:rsid w:val="005E3AB3"/>
    <w:rsid w:val="005F7B5A"/>
    <w:rsid w:val="00603B66"/>
    <w:rsid w:val="00606BC0"/>
    <w:rsid w:val="006075D3"/>
    <w:rsid w:val="006105D7"/>
    <w:rsid w:val="00611B4C"/>
    <w:rsid w:val="00624C1B"/>
    <w:rsid w:val="00652B29"/>
    <w:rsid w:val="00652D2D"/>
    <w:rsid w:val="00652F36"/>
    <w:rsid w:val="006574EC"/>
    <w:rsid w:val="0066338D"/>
    <w:rsid w:val="00671862"/>
    <w:rsid w:val="00674FAC"/>
    <w:rsid w:val="006845C8"/>
    <w:rsid w:val="00695B00"/>
    <w:rsid w:val="006A60FB"/>
    <w:rsid w:val="006B429C"/>
    <w:rsid w:val="006C4A40"/>
    <w:rsid w:val="006C4BC2"/>
    <w:rsid w:val="006C6CD8"/>
    <w:rsid w:val="006D1E78"/>
    <w:rsid w:val="006E2510"/>
    <w:rsid w:val="006E7F8A"/>
    <w:rsid w:val="006F03AB"/>
    <w:rsid w:val="00706D9D"/>
    <w:rsid w:val="007100D6"/>
    <w:rsid w:val="00717A7B"/>
    <w:rsid w:val="0072049B"/>
    <w:rsid w:val="00731301"/>
    <w:rsid w:val="0073555F"/>
    <w:rsid w:val="007424DD"/>
    <w:rsid w:val="00746CB1"/>
    <w:rsid w:val="00747B28"/>
    <w:rsid w:val="0075404C"/>
    <w:rsid w:val="007607AB"/>
    <w:rsid w:val="00774744"/>
    <w:rsid w:val="00780F3B"/>
    <w:rsid w:val="0079661C"/>
    <w:rsid w:val="00796837"/>
    <w:rsid w:val="007A40D6"/>
    <w:rsid w:val="007A7FF1"/>
    <w:rsid w:val="007B111E"/>
    <w:rsid w:val="007E0185"/>
    <w:rsid w:val="007E38B9"/>
    <w:rsid w:val="007E3F0A"/>
    <w:rsid w:val="007E6960"/>
    <w:rsid w:val="007F3D2C"/>
    <w:rsid w:val="00800551"/>
    <w:rsid w:val="00800967"/>
    <w:rsid w:val="00800E42"/>
    <w:rsid w:val="0080359A"/>
    <w:rsid w:val="00806A57"/>
    <w:rsid w:val="00812A2C"/>
    <w:rsid w:val="008134C3"/>
    <w:rsid w:val="00820DC6"/>
    <w:rsid w:val="008227B9"/>
    <w:rsid w:val="00832432"/>
    <w:rsid w:val="00835DD3"/>
    <w:rsid w:val="0084482B"/>
    <w:rsid w:val="0084557B"/>
    <w:rsid w:val="00846423"/>
    <w:rsid w:val="00847563"/>
    <w:rsid w:val="00850F44"/>
    <w:rsid w:val="00853B49"/>
    <w:rsid w:val="00857426"/>
    <w:rsid w:val="00877137"/>
    <w:rsid w:val="00881603"/>
    <w:rsid w:val="00882C15"/>
    <w:rsid w:val="00890040"/>
    <w:rsid w:val="00890A54"/>
    <w:rsid w:val="008934AD"/>
    <w:rsid w:val="008B1B22"/>
    <w:rsid w:val="008B5B32"/>
    <w:rsid w:val="008C6EDA"/>
    <w:rsid w:val="008D00E5"/>
    <w:rsid w:val="008D104C"/>
    <w:rsid w:val="008D5BE0"/>
    <w:rsid w:val="008E0A40"/>
    <w:rsid w:val="008E5F3A"/>
    <w:rsid w:val="008F6DFE"/>
    <w:rsid w:val="00906AD1"/>
    <w:rsid w:val="00916A14"/>
    <w:rsid w:val="00927FE7"/>
    <w:rsid w:val="00934316"/>
    <w:rsid w:val="009361EA"/>
    <w:rsid w:val="0094387D"/>
    <w:rsid w:val="00945EAE"/>
    <w:rsid w:val="0096138D"/>
    <w:rsid w:val="009773A3"/>
    <w:rsid w:val="00981705"/>
    <w:rsid w:val="009878D8"/>
    <w:rsid w:val="00996C68"/>
    <w:rsid w:val="009A5953"/>
    <w:rsid w:val="009B690D"/>
    <w:rsid w:val="009C6636"/>
    <w:rsid w:val="009D3731"/>
    <w:rsid w:val="009D7870"/>
    <w:rsid w:val="009E2F66"/>
    <w:rsid w:val="009E381A"/>
    <w:rsid w:val="009F2271"/>
    <w:rsid w:val="00A008BC"/>
    <w:rsid w:val="00A05D98"/>
    <w:rsid w:val="00A260B4"/>
    <w:rsid w:val="00A34FA5"/>
    <w:rsid w:val="00A371E5"/>
    <w:rsid w:val="00A377F9"/>
    <w:rsid w:val="00A46CF2"/>
    <w:rsid w:val="00A6133B"/>
    <w:rsid w:val="00A63EE7"/>
    <w:rsid w:val="00A67205"/>
    <w:rsid w:val="00A82267"/>
    <w:rsid w:val="00AC22BC"/>
    <w:rsid w:val="00AC3EA4"/>
    <w:rsid w:val="00AC5001"/>
    <w:rsid w:val="00AD7F09"/>
    <w:rsid w:val="00AE5A21"/>
    <w:rsid w:val="00AF2E3C"/>
    <w:rsid w:val="00B025FF"/>
    <w:rsid w:val="00B02D46"/>
    <w:rsid w:val="00B06754"/>
    <w:rsid w:val="00B115CF"/>
    <w:rsid w:val="00B23587"/>
    <w:rsid w:val="00B32370"/>
    <w:rsid w:val="00B36112"/>
    <w:rsid w:val="00B37C9A"/>
    <w:rsid w:val="00B419B2"/>
    <w:rsid w:val="00B41F73"/>
    <w:rsid w:val="00B434FD"/>
    <w:rsid w:val="00B55A0E"/>
    <w:rsid w:val="00B6302A"/>
    <w:rsid w:val="00B74B20"/>
    <w:rsid w:val="00B75097"/>
    <w:rsid w:val="00B90D45"/>
    <w:rsid w:val="00B91997"/>
    <w:rsid w:val="00BA7EA5"/>
    <w:rsid w:val="00BB4D40"/>
    <w:rsid w:val="00BC074E"/>
    <w:rsid w:val="00BC1B53"/>
    <w:rsid w:val="00BD5937"/>
    <w:rsid w:val="00BE2598"/>
    <w:rsid w:val="00BE3B09"/>
    <w:rsid w:val="00BF27F4"/>
    <w:rsid w:val="00BF71A1"/>
    <w:rsid w:val="00C040EC"/>
    <w:rsid w:val="00C06422"/>
    <w:rsid w:val="00C14960"/>
    <w:rsid w:val="00C151E2"/>
    <w:rsid w:val="00C268F6"/>
    <w:rsid w:val="00C32C9C"/>
    <w:rsid w:val="00C35B03"/>
    <w:rsid w:val="00C3618C"/>
    <w:rsid w:val="00C43B75"/>
    <w:rsid w:val="00C74345"/>
    <w:rsid w:val="00C74748"/>
    <w:rsid w:val="00C74D13"/>
    <w:rsid w:val="00C779DB"/>
    <w:rsid w:val="00C77DAD"/>
    <w:rsid w:val="00C81D1B"/>
    <w:rsid w:val="00C902E5"/>
    <w:rsid w:val="00CA22C5"/>
    <w:rsid w:val="00CA3CE1"/>
    <w:rsid w:val="00CB14AC"/>
    <w:rsid w:val="00CC3C74"/>
    <w:rsid w:val="00CC5C66"/>
    <w:rsid w:val="00CC6B74"/>
    <w:rsid w:val="00CD0715"/>
    <w:rsid w:val="00CE66D0"/>
    <w:rsid w:val="00CE7F03"/>
    <w:rsid w:val="00CF4252"/>
    <w:rsid w:val="00D05114"/>
    <w:rsid w:val="00D109F2"/>
    <w:rsid w:val="00D22CDD"/>
    <w:rsid w:val="00D22CED"/>
    <w:rsid w:val="00D22F3D"/>
    <w:rsid w:val="00D276CD"/>
    <w:rsid w:val="00D35629"/>
    <w:rsid w:val="00D43744"/>
    <w:rsid w:val="00D44C86"/>
    <w:rsid w:val="00D72EF5"/>
    <w:rsid w:val="00D735DD"/>
    <w:rsid w:val="00D750EC"/>
    <w:rsid w:val="00D77D64"/>
    <w:rsid w:val="00D81B16"/>
    <w:rsid w:val="00D83D31"/>
    <w:rsid w:val="00D96D6D"/>
    <w:rsid w:val="00DB39DE"/>
    <w:rsid w:val="00DB3D9B"/>
    <w:rsid w:val="00DB76F4"/>
    <w:rsid w:val="00DD2131"/>
    <w:rsid w:val="00DD7F86"/>
    <w:rsid w:val="00DE0CEC"/>
    <w:rsid w:val="00DE642B"/>
    <w:rsid w:val="00DF5022"/>
    <w:rsid w:val="00DF5A72"/>
    <w:rsid w:val="00E0579F"/>
    <w:rsid w:val="00E16F31"/>
    <w:rsid w:val="00E46737"/>
    <w:rsid w:val="00E504DE"/>
    <w:rsid w:val="00E52AE8"/>
    <w:rsid w:val="00E75341"/>
    <w:rsid w:val="00E84529"/>
    <w:rsid w:val="00E86D21"/>
    <w:rsid w:val="00E9354B"/>
    <w:rsid w:val="00EA49CE"/>
    <w:rsid w:val="00EA508A"/>
    <w:rsid w:val="00EB148E"/>
    <w:rsid w:val="00ED4497"/>
    <w:rsid w:val="00EE1A38"/>
    <w:rsid w:val="00F055C1"/>
    <w:rsid w:val="00F16688"/>
    <w:rsid w:val="00F23EC9"/>
    <w:rsid w:val="00F30289"/>
    <w:rsid w:val="00F3608C"/>
    <w:rsid w:val="00F366FE"/>
    <w:rsid w:val="00F41B95"/>
    <w:rsid w:val="00F50C6F"/>
    <w:rsid w:val="00F5112D"/>
    <w:rsid w:val="00F573CF"/>
    <w:rsid w:val="00F62BAC"/>
    <w:rsid w:val="00F664E4"/>
    <w:rsid w:val="00F67A85"/>
    <w:rsid w:val="00F72BDB"/>
    <w:rsid w:val="00F74609"/>
    <w:rsid w:val="00F74D94"/>
    <w:rsid w:val="00F81AF8"/>
    <w:rsid w:val="00FA3F8D"/>
    <w:rsid w:val="00FA5602"/>
    <w:rsid w:val="00FB342C"/>
    <w:rsid w:val="00FB65CC"/>
    <w:rsid w:val="00FB7A31"/>
    <w:rsid w:val="00FD7A18"/>
    <w:rsid w:val="00FE0DF9"/>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88A007"/>
  <w15:docId w15:val="{309C6E07-78BD-452A-9C6D-0A62A9C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4A40"/>
    <w:rPr>
      <w:sz w:val="16"/>
      <w:szCs w:val="16"/>
    </w:rPr>
  </w:style>
  <w:style w:type="paragraph" w:styleId="CommentText">
    <w:name w:val="annotation text"/>
    <w:basedOn w:val="Normal"/>
    <w:link w:val="CommentTextChar"/>
    <w:uiPriority w:val="99"/>
    <w:semiHidden/>
    <w:unhideWhenUsed/>
    <w:rsid w:val="006C4A40"/>
    <w:rPr>
      <w:sz w:val="20"/>
      <w:szCs w:val="20"/>
    </w:rPr>
  </w:style>
  <w:style w:type="character" w:customStyle="1" w:styleId="CommentTextChar">
    <w:name w:val="Comment Text Char"/>
    <w:basedOn w:val="DefaultParagraphFont"/>
    <w:link w:val="CommentText"/>
    <w:uiPriority w:val="99"/>
    <w:semiHidden/>
    <w:rsid w:val="006C4A4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4A40"/>
    <w:rPr>
      <w:b/>
      <w:bCs/>
    </w:rPr>
  </w:style>
  <w:style w:type="character" w:customStyle="1" w:styleId="CommentSubjectChar">
    <w:name w:val="Comment Subject Char"/>
    <w:basedOn w:val="CommentTextChar"/>
    <w:link w:val="CommentSubject"/>
    <w:uiPriority w:val="99"/>
    <w:semiHidden/>
    <w:rsid w:val="006C4A40"/>
    <w:rPr>
      <w:rFonts w:ascii="Times New Roman" w:eastAsia="Times New Roman" w:hAnsi="Times New Roman"/>
      <w:b/>
      <w:bCs/>
    </w:rPr>
  </w:style>
  <w:style w:type="paragraph" w:styleId="Revision">
    <w:name w:val="Revision"/>
    <w:hidden/>
    <w:uiPriority w:val="99"/>
    <w:semiHidden/>
    <w:rsid w:val="006C4A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4</cp:revision>
  <cp:lastPrinted>2019-03-01T19:56:00Z</cp:lastPrinted>
  <dcterms:created xsi:type="dcterms:W3CDTF">2019-03-20T21:48:00Z</dcterms:created>
  <dcterms:modified xsi:type="dcterms:W3CDTF">2019-03-20T21:49:00Z</dcterms:modified>
</cp:coreProperties>
</file>