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039C" w14:textId="77777777" w:rsidR="00800E42" w:rsidRDefault="004B03D9" w:rsidP="00235F41">
      <w:pPr>
        <w:pStyle w:val="Header"/>
        <w:spacing w:before="240"/>
        <w:jc w:val="center"/>
        <w:rPr>
          <w:rFonts w:ascii="Calibri" w:hAnsi="Calibri" w:cs="Arial"/>
          <w:b/>
          <w:bCs/>
          <w:noProof/>
          <w:sz w:val="32"/>
          <w:szCs w:val="32"/>
          <w:lang w:val="en-US"/>
        </w:rPr>
      </w:pPr>
      <w:bookmarkStart w:id="0" w:name="_GoBack"/>
      <w:bookmarkEnd w:id="0"/>
      <w:r>
        <w:rPr>
          <w:rFonts w:cs="Arial"/>
          <w:b/>
          <w:bCs/>
          <w:noProof/>
          <w:sz w:val="32"/>
          <w:szCs w:val="32"/>
          <w:lang w:val="en-US" w:eastAsia="en-US"/>
        </w:rPr>
        <w:drawing>
          <wp:anchor distT="0" distB="0" distL="114300" distR="114300" simplePos="0" relativeHeight="251657216" behindDoc="0" locked="0" layoutInCell="1" allowOverlap="1" wp14:anchorId="6A9E03C4" wp14:editId="6A9E03C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DE7023">
        <w:rPr>
          <w:rFonts w:ascii="Calibri" w:hAnsi="Calibri"/>
          <w:noProof/>
          <w:sz w:val="32"/>
          <w:szCs w:val="32"/>
        </w:rPr>
        <w:object w:dxaOrig="1440" w:dyaOrig="1440" w14:anchorId="6A9E0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622014424" r:id="rId10"/>
        </w:object>
      </w:r>
      <w:r w:rsidR="00800E42" w:rsidRPr="00996C68">
        <w:rPr>
          <w:rFonts w:ascii="Calibri" w:hAnsi="Calibri" w:cs="Arial"/>
          <w:b/>
          <w:bCs/>
          <w:noProof/>
          <w:sz w:val="32"/>
          <w:szCs w:val="32"/>
        </w:rPr>
        <w:t>State of Kansas</w:t>
      </w:r>
    </w:p>
    <w:p w14:paraId="6A9E039D" w14:textId="4FE336C4" w:rsidR="00235F41" w:rsidRDefault="00706F25"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Creat</w:t>
      </w:r>
      <w:r w:rsidR="00E97AFD">
        <w:rPr>
          <w:rFonts w:ascii="Calibri" w:hAnsi="Calibri" w:cs="Arial"/>
          <w:b/>
          <w:bCs/>
          <w:noProof/>
          <w:sz w:val="32"/>
          <w:szCs w:val="32"/>
          <w:lang w:val="en-US"/>
        </w:rPr>
        <w:t>e</w:t>
      </w:r>
      <w:r>
        <w:rPr>
          <w:rFonts w:ascii="Calibri" w:hAnsi="Calibri" w:cs="Arial"/>
          <w:b/>
          <w:bCs/>
          <w:noProof/>
          <w:sz w:val="32"/>
          <w:szCs w:val="32"/>
          <w:lang w:val="en-US"/>
        </w:rPr>
        <w:t xml:space="preserve"> a Voucher</w:t>
      </w:r>
    </w:p>
    <w:p w14:paraId="6A9E039E"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6A9E039F" w14:textId="77777777" w:rsidR="00341BE7" w:rsidRDefault="00341BE7" w:rsidP="00996C68">
      <w:pPr>
        <w:spacing w:after="100" w:afterAutospacing="1"/>
        <w:rPr>
          <w:rFonts w:ascii="Calibri" w:hAnsi="Calibri"/>
        </w:rPr>
      </w:pPr>
    </w:p>
    <w:tbl>
      <w:tblPr>
        <w:tblW w:w="1068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952"/>
        <w:gridCol w:w="6858"/>
        <w:gridCol w:w="229"/>
      </w:tblGrid>
      <w:tr w:rsidR="00AF2E3C" w:rsidRPr="00161D65" w14:paraId="6A9E03A2" w14:textId="77777777" w:rsidTr="00DE43CD">
        <w:tc>
          <w:tcPr>
            <w:tcW w:w="3600" w:type="dxa"/>
            <w:gridSpan w:val="2"/>
          </w:tcPr>
          <w:p w14:paraId="6A9E03A0" w14:textId="24448844" w:rsidR="00AF2E3C" w:rsidRDefault="00956B1F" w:rsidP="00161D65">
            <w:pPr>
              <w:rPr>
                <w:rFonts w:ascii="Calibri" w:hAnsi="Calibri"/>
                <w:b/>
                <w:noProof/>
              </w:rPr>
            </w:pPr>
            <w:r>
              <w:rPr>
                <w:rFonts w:ascii="Calibri" w:hAnsi="Calibri"/>
                <w:b/>
                <w:noProof/>
              </w:rPr>
              <w:t>Date Created</w:t>
            </w:r>
          </w:p>
        </w:tc>
        <w:tc>
          <w:tcPr>
            <w:tcW w:w="7087" w:type="dxa"/>
            <w:gridSpan w:val="2"/>
          </w:tcPr>
          <w:p w14:paraId="6A9E03A1" w14:textId="32F5150E" w:rsidR="003738F2" w:rsidRPr="0049585B" w:rsidRDefault="00554EEB" w:rsidP="0077141D">
            <w:pPr>
              <w:rPr>
                <w:rFonts w:ascii="Calibri" w:hAnsi="Calibri"/>
                <w:sz w:val="22"/>
                <w:szCs w:val="22"/>
              </w:rPr>
            </w:pPr>
            <w:r>
              <w:rPr>
                <w:rFonts w:ascii="Calibri" w:hAnsi="Calibri"/>
                <w:sz w:val="22"/>
                <w:szCs w:val="22"/>
              </w:rPr>
              <w:t>0</w:t>
            </w:r>
            <w:r w:rsidR="00BA53BF">
              <w:rPr>
                <w:rFonts w:ascii="Calibri" w:hAnsi="Calibri"/>
                <w:sz w:val="22"/>
                <w:szCs w:val="22"/>
              </w:rPr>
              <w:t>9</w:t>
            </w:r>
            <w:r>
              <w:rPr>
                <w:rFonts w:ascii="Calibri" w:hAnsi="Calibri"/>
                <w:sz w:val="22"/>
                <w:szCs w:val="22"/>
              </w:rPr>
              <w:t>/1</w:t>
            </w:r>
            <w:r w:rsidR="00BA53BF">
              <w:rPr>
                <w:rFonts w:ascii="Calibri" w:hAnsi="Calibri"/>
                <w:sz w:val="22"/>
                <w:szCs w:val="22"/>
              </w:rPr>
              <w:t>8</w:t>
            </w:r>
            <w:r>
              <w:rPr>
                <w:rFonts w:ascii="Calibri" w:hAnsi="Calibri"/>
                <w:sz w:val="22"/>
                <w:szCs w:val="22"/>
              </w:rPr>
              <w:t>/2018</w:t>
            </w:r>
          </w:p>
        </w:tc>
      </w:tr>
      <w:tr w:rsidR="00AF2E3C" w:rsidRPr="00161D65" w14:paraId="6A9E03A5" w14:textId="77777777" w:rsidTr="00DE43CD">
        <w:tc>
          <w:tcPr>
            <w:tcW w:w="3600" w:type="dxa"/>
            <w:gridSpan w:val="2"/>
          </w:tcPr>
          <w:p w14:paraId="6A9E03A3" w14:textId="637BC67C" w:rsidR="00AF2E3C" w:rsidRDefault="00956B1F" w:rsidP="00161D65">
            <w:pPr>
              <w:rPr>
                <w:rFonts w:ascii="Calibri" w:hAnsi="Calibri"/>
                <w:b/>
                <w:noProof/>
              </w:rPr>
            </w:pPr>
            <w:r>
              <w:rPr>
                <w:rFonts w:ascii="Calibri" w:hAnsi="Calibri"/>
                <w:b/>
                <w:noProof/>
              </w:rPr>
              <w:t>Version</w:t>
            </w:r>
          </w:p>
        </w:tc>
        <w:tc>
          <w:tcPr>
            <w:tcW w:w="7087" w:type="dxa"/>
            <w:gridSpan w:val="2"/>
          </w:tcPr>
          <w:p w14:paraId="6A9E03A4" w14:textId="7DC9A4F1" w:rsidR="00AF2E3C" w:rsidRPr="0049585B" w:rsidRDefault="00051BA9" w:rsidP="00EE1A38">
            <w:pPr>
              <w:rPr>
                <w:rFonts w:ascii="Calibri" w:hAnsi="Calibri"/>
                <w:sz w:val="22"/>
                <w:szCs w:val="22"/>
              </w:rPr>
            </w:pPr>
            <w:r>
              <w:rPr>
                <w:rFonts w:ascii="Calibri" w:hAnsi="Calibri"/>
                <w:sz w:val="22"/>
                <w:szCs w:val="22"/>
              </w:rPr>
              <w:t>1.</w:t>
            </w:r>
            <w:r w:rsidR="00883EE6">
              <w:rPr>
                <w:rFonts w:ascii="Calibri" w:hAnsi="Calibri"/>
                <w:sz w:val="22"/>
                <w:szCs w:val="22"/>
              </w:rPr>
              <w:t>2</w:t>
            </w:r>
          </w:p>
        </w:tc>
      </w:tr>
      <w:tr w:rsidR="00051BA9" w:rsidRPr="00161D65" w14:paraId="13F85B57" w14:textId="77777777" w:rsidTr="00DE43CD">
        <w:tc>
          <w:tcPr>
            <w:tcW w:w="3600" w:type="dxa"/>
            <w:gridSpan w:val="2"/>
          </w:tcPr>
          <w:p w14:paraId="5E121126" w14:textId="61E23FEB" w:rsidR="00051BA9" w:rsidRDefault="00051BA9" w:rsidP="00161D65">
            <w:pPr>
              <w:rPr>
                <w:rFonts w:ascii="Calibri" w:hAnsi="Calibri"/>
                <w:b/>
                <w:noProof/>
              </w:rPr>
            </w:pPr>
            <w:r>
              <w:rPr>
                <w:rFonts w:ascii="Calibri" w:hAnsi="Calibri"/>
                <w:b/>
                <w:noProof/>
              </w:rPr>
              <w:t>Last Update</w:t>
            </w:r>
          </w:p>
        </w:tc>
        <w:tc>
          <w:tcPr>
            <w:tcW w:w="7087" w:type="dxa"/>
            <w:gridSpan w:val="2"/>
          </w:tcPr>
          <w:p w14:paraId="7628BD70" w14:textId="6A2A64A2" w:rsidR="00051BA9" w:rsidRDefault="00883EE6" w:rsidP="00EE1A38">
            <w:pPr>
              <w:rPr>
                <w:rFonts w:ascii="Calibri" w:hAnsi="Calibri"/>
                <w:sz w:val="22"/>
                <w:szCs w:val="22"/>
              </w:rPr>
            </w:pPr>
            <w:r>
              <w:rPr>
                <w:rFonts w:ascii="Calibri" w:hAnsi="Calibri"/>
                <w:sz w:val="22"/>
                <w:szCs w:val="22"/>
              </w:rPr>
              <w:t>06/17/2019</w:t>
            </w:r>
          </w:p>
        </w:tc>
      </w:tr>
      <w:tr w:rsidR="0085682D" w:rsidRPr="00161D65" w14:paraId="23108126" w14:textId="77777777" w:rsidTr="00DE43CD">
        <w:tc>
          <w:tcPr>
            <w:tcW w:w="3600" w:type="dxa"/>
            <w:gridSpan w:val="2"/>
          </w:tcPr>
          <w:p w14:paraId="0FF90D78" w14:textId="57EB3AE5" w:rsidR="0085682D" w:rsidRDefault="00956B1F" w:rsidP="00161D65">
            <w:pPr>
              <w:rPr>
                <w:rFonts w:ascii="Calibri" w:hAnsi="Calibri"/>
                <w:b/>
                <w:noProof/>
              </w:rPr>
            </w:pPr>
            <w:r>
              <w:rPr>
                <w:rFonts w:ascii="Calibri" w:hAnsi="Calibri"/>
                <w:b/>
                <w:noProof/>
              </w:rPr>
              <w:t>Documents this Job Aid Replaces</w:t>
            </w:r>
          </w:p>
        </w:tc>
        <w:tc>
          <w:tcPr>
            <w:tcW w:w="7087" w:type="dxa"/>
            <w:gridSpan w:val="2"/>
          </w:tcPr>
          <w:p w14:paraId="60868105" w14:textId="10F28402" w:rsidR="0085682D" w:rsidRDefault="00550A8C" w:rsidP="00EE1A38">
            <w:pPr>
              <w:rPr>
                <w:rFonts w:ascii="Calibri" w:hAnsi="Calibri"/>
                <w:sz w:val="22"/>
                <w:szCs w:val="22"/>
              </w:rPr>
            </w:pPr>
            <w:r>
              <w:rPr>
                <w:rFonts w:ascii="Calibri" w:hAnsi="Calibri"/>
                <w:sz w:val="22"/>
                <w:szCs w:val="22"/>
              </w:rPr>
              <w:t>Voucher Styles 11-19-12</w:t>
            </w:r>
          </w:p>
        </w:tc>
      </w:tr>
      <w:tr w:rsidR="000B12F4" w:rsidRPr="00161D65" w14:paraId="6A9E03AB" w14:textId="77777777" w:rsidTr="00DE43CD">
        <w:tc>
          <w:tcPr>
            <w:tcW w:w="3600" w:type="dxa"/>
            <w:gridSpan w:val="2"/>
          </w:tcPr>
          <w:p w14:paraId="6A9E03A6" w14:textId="72ECEF63" w:rsidR="000B12F4" w:rsidRPr="00161D65" w:rsidRDefault="00956B1F" w:rsidP="00161D65">
            <w:pPr>
              <w:rPr>
                <w:rFonts w:ascii="Calibri" w:hAnsi="Calibri"/>
                <w:b/>
                <w:noProof/>
              </w:rPr>
            </w:pPr>
            <w:r>
              <w:rPr>
                <w:rFonts w:ascii="Calibri" w:hAnsi="Calibri"/>
                <w:b/>
                <w:noProof/>
              </w:rPr>
              <w:t>Security</w:t>
            </w:r>
          </w:p>
        </w:tc>
        <w:tc>
          <w:tcPr>
            <w:tcW w:w="7087" w:type="dxa"/>
            <w:gridSpan w:val="2"/>
          </w:tcPr>
          <w:p w14:paraId="6A9E03A7" w14:textId="1C6E5118"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554EEB">
              <w:rPr>
                <w:rFonts w:ascii="Calibri" w:hAnsi="Calibri"/>
                <w:noProof/>
                <w:sz w:val="22"/>
                <w:szCs w:val="22"/>
              </w:rPr>
              <w:t>create a voucher</w:t>
            </w:r>
            <w:r w:rsidR="006105D7">
              <w:rPr>
                <w:rFonts w:ascii="Calibri" w:hAnsi="Calibri"/>
                <w:noProof/>
                <w:sz w:val="22"/>
                <w:szCs w:val="22"/>
              </w:rPr>
              <w:t>:</w:t>
            </w:r>
          </w:p>
          <w:p w14:paraId="6A9E03A8" w14:textId="77777777" w:rsidR="004E54EA" w:rsidRDefault="009A0867" w:rsidP="004E54EA">
            <w:pPr>
              <w:numPr>
                <w:ilvl w:val="0"/>
                <w:numId w:val="7"/>
              </w:numPr>
              <w:ind w:left="792"/>
              <w:rPr>
                <w:rFonts w:ascii="Calibri" w:hAnsi="Calibri"/>
                <w:noProof/>
                <w:sz w:val="22"/>
                <w:szCs w:val="22"/>
              </w:rPr>
            </w:pPr>
            <w:r>
              <w:rPr>
                <w:rFonts w:ascii="Calibri" w:hAnsi="Calibri"/>
                <w:noProof/>
                <w:sz w:val="22"/>
                <w:szCs w:val="22"/>
              </w:rPr>
              <w:t xml:space="preserve">Agency AP </w:t>
            </w:r>
            <w:r w:rsidR="00B31645">
              <w:rPr>
                <w:rFonts w:ascii="Calibri" w:hAnsi="Calibri"/>
                <w:noProof/>
                <w:sz w:val="22"/>
                <w:szCs w:val="22"/>
              </w:rPr>
              <w:t>Processor</w:t>
            </w:r>
            <w:r>
              <w:rPr>
                <w:rFonts w:ascii="Calibri" w:hAnsi="Calibri"/>
                <w:noProof/>
                <w:sz w:val="22"/>
                <w:szCs w:val="22"/>
              </w:rPr>
              <w:t xml:space="preserve"> (</w:t>
            </w:r>
            <w:r w:rsidR="00515F37">
              <w:rPr>
                <w:rFonts w:ascii="Calibri" w:hAnsi="Calibri"/>
                <w:noProof/>
                <w:sz w:val="22"/>
                <w:szCs w:val="22"/>
              </w:rPr>
              <w:t>KAP_Agy_AP_</w:t>
            </w:r>
            <w:r w:rsidR="00B31645">
              <w:rPr>
                <w:rFonts w:ascii="Calibri" w:hAnsi="Calibri"/>
                <w:noProof/>
                <w:sz w:val="22"/>
                <w:szCs w:val="22"/>
              </w:rPr>
              <w:t>Processor</w:t>
            </w:r>
            <w:r>
              <w:rPr>
                <w:rFonts w:ascii="Calibri" w:hAnsi="Calibri"/>
                <w:noProof/>
                <w:sz w:val="22"/>
                <w:szCs w:val="22"/>
              </w:rPr>
              <w:t>)</w:t>
            </w:r>
          </w:p>
          <w:p w14:paraId="6A9E03A9" w14:textId="77777777" w:rsidR="004E54EA" w:rsidRPr="0077141D" w:rsidRDefault="0077141D" w:rsidP="0077141D">
            <w:pPr>
              <w:numPr>
                <w:ilvl w:val="0"/>
                <w:numId w:val="7"/>
              </w:numPr>
              <w:ind w:left="792"/>
              <w:rPr>
                <w:rFonts w:ascii="Calibri" w:hAnsi="Calibri"/>
                <w:noProof/>
                <w:sz w:val="22"/>
                <w:szCs w:val="22"/>
              </w:rPr>
            </w:pPr>
            <w:r>
              <w:rPr>
                <w:rFonts w:ascii="Calibri" w:hAnsi="Calibri"/>
                <w:noProof/>
                <w:sz w:val="22"/>
                <w:szCs w:val="22"/>
              </w:rPr>
              <w:t>Agency AP Interfund Processor (KAP_Interfund_Processor)</w:t>
            </w:r>
          </w:p>
          <w:p w14:paraId="6A9E03AA" w14:textId="77777777" w:rsidR="000B12F4" w:rsidRPr="0077141D" w:rsidRDefault="000B12F4" w:rsidP="00642264">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vouchers and interfunds</w:t>
            </w:r>
            <w:r w:rsidRPr="004E54EA">
              <w:rPr>
                <w:rFonts w:ascii="Calibri" w:hAnsi="Calibri"/>
                <w:noProof/>
                <w:sz w:val="22"/>
                <w:szCs w:val="22"/>
              </w:rPr>
              <w:t xml:space="preserve"> associated to their agency business unit.</w:t>
            </w:r>
          </w:p>
        </w:tc>
      </w:tr>
      <w:tr w:rsidR="000B12F4" w:rsidRPr="00161D65" w14:paraId="6A9E03AE" w14:textId="77777777" w:rsidTr="00DE43CD">
        <w:tc>
          <w:tcPr>
            <w:tcW w:w="3600" w:type="dxa"/>
            <w:gridSpan w:val="2"/>
          </w:tcPr>
          <w:p w14:paraId="6A9E03AC" w14:textId="77777777" w:rsidR="000B12F4" w:rsidRDefault="00515F37" w:rsidP="00161D65">
            <w:pPr>
              <w:rPr>
                <w:rFonts w:ascii="Calibri" w:hAnsi="Calibri"/>
                <w:b/>
                <w:noProof/>
              </w:rPr>
            </w:pPr>
            <w:r>
              <w:rPr>
                <w:rFonts w:ascii="Calibri" w:hAnsi="Calibri"/>
                <w:b/>
                <w:noProof/>
              </w:rPr>
              <w:t>Navigation</w:t>
            </w:r>
          </w:p>
        </w:tc>
        <w:tc>
          <w:tcPr>
            <w:tcW w:w="7087" w:type="dxa"/>
            <w:gridSpan w:val="2"/>
          </w:tcPr>
          <w:p w14:paraId="02CAF7FA" w14:textId="2F32EC91" w:rsidR="00335046" w:rsidRDefault="00335046" w:rsidP="00335046">
            <w:pPr>
              <w:pStyle w:val="ListParagraph"/>
              <w:numPr>
                <w:ilvl w:val="0"/>
                <w:numId w:val="26"/>
              </w:numPr>
              <w:rPr>
                <w:rFonts w:ascii="Calibri Light" w:hAnsi="Calibri Light"/>
                <w:b/>
                <w:noProof/>
                <w:sz w:val="22"/>
                <w:szCs w:val="22"/>
              </w:rPr>
            </w:pPr>
            <w:r>
              <w:rPr>
                <w:rFonts w:ascii="Calibri Light" w:hAnsi="Calibri Light"/>
                <w:b/>
                <w:noProof/>
                <w:sz w:val="22"/>
                <w:szCs w:val="22"/>
              </w:rPr>
              <w:t>Accounts Payable Homepage &gt; Vouchers &gt; Add/Update &gt; Regular Entry</w:t>
            </w:r>
          </w:p>
          <w:p w14:paraId="6A9E03AD" w14:textId="43857C60" w:rsidR="00335046" w:rsidRPr="00335046" w:rsidRDefault="00335046" w:rsidP="00335046">
            <w:pPr>
              <w:pStyle w:val="ListParagraph"/>
              <w:numPr>
                <w:ilvl w:val="0"/>
                <w:numId w:val="26"/>
              </w:numPr>
              <w:rPr>
                <w:rFonts w:ascii="Calibri Light" w:hAnsi="Calibri Light"/>
                <w:b/>
                <w:noProof/>
                <w:sz w:val="22"/>
                <w:szCs w:val="22"/>
              </w:rPr>
            </w:pPr>
            <w:r>
              <w:rPr>
                <w:rFonts w:ascii="Calibri Light" w:hAnsi="Calibri Light"/>
                <w:b/>
                <w:noProof/>
                <w:sz w:val="22"/>
                <w:szCs w:val="22"/>
              </w:rPr>
              <w:t>NavBar:</w:t>
            </w:r>
            <w:r w:rsidRPr="00DE43CD">
              <w:rPr>
                <w:rFonts w:ascii="Calibri Light" w:hAnsi="Calibri Light"/>
                <w:b/>
                <w:noProof/>
                <w:sz w:val="22"/>
                <w:szCs w:val="22"/>
              </w:rPr>
              <w:t xml:space="preserve"> </w:t>
            </w:r>
            <w:r>
              <w:rPr>
                <w:rFonts w:ascii="Calibri Light" w:hAnsi="Calibri Light"/>
                <w:b/>
                <w:noProof/>
                <w:sz w:val="22"/>
                <w:szCs w:val="22"/>
              </w:rPr>
              <w:t xml:space="preserve"> </w:t>
            </w:r>
            <w:r w:rsidRPr="00DE43CD">
              <w:rPr>
                <w:rFonts w:ascii="Calibri Light" w:hAnsi="Calibri Light"/>
                <w:b/>
                <w:noProof/>
                <w:sz w:val="22"/>
                <w:szCs w:val="22"/>
              </w:rPr>
              <w:t>Navigator</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Accounts Payable</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Vouchers</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Add/Update</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Regular Entry</w:t>
            </w:r>
          </w:p>
        </w:tc>
      </w:tr>
      <w:tr w:rsidR="004E54EA" w:rsidRPr="009063D6" w14:paraId="6A9E03B7" w14:textId="77777777" w:rsidTr="00DE43CD">
        <w:tc>
          <w:tcPr>
            <w:tcW w:w="648" w:type="dxa"/>
          </w:tcPr>
          <w:p w14:paraId="6A9E03AF" w14:textId="77777777" w:rsidR="004E54EA" w:rsidRPr="00642264" w:rsidRDefault="004E54EA" w:rsidP="001C7A87">
            <w:pPr>
              <w:rPr>
                <w:rFonts w:ascii="Arial" w:hAnsi="Arial" w:cs="Arial"/>
                <w:b/>
                <w:noProof/>
              </w:rPr>
            </w:pPr>
            <w:r w:rsidRPr="00642264">
              <w:rPr>
                <w:rFonts w:ascii="Arial" w:hAnsi="Arial" w:cs="Arial"/>
                <w:b/>
                <w:noProof/>
              </w:rPr>
              <w:t>1.</w:t>
            </w:r>
          </w:p>
        </w:tc>
        <w:tc>
          <w:tcPr>
            <w:tcW w:w="2952" w:type="dxa"/>
          </w:tcPr>
          <w:p w14:paraId="16CF6A83" w14:textId="4FDB04C1" w:rsidR="00A7760F" w:rsidRPr="007A54F1" w:rsidRDefault="007A54F1" w:rsidP="007A54F1">
            <w:pPr>
              <w:rPr>
                <w:rFonts w:asciiTheme="minorHAnsi" w:hAnsiTheme="minorHAnsi" w:cs="Arial"/>
                <w:noProof/>
                <w:color w:val="000000"/>
                <w:sz w:val="22"/>
                <w:szCs w:val="22"/>
              </w:rPr>
            </w:pPr>
            <w:r w:rsidRPr="007A54F1">
              <w:rPr>
                <w:rFonts w:asciiTheme="minorHAnsi" w:hAnsiTheme="minorHAnsi" w:cs="Arial"/>
                <w:b/>
                <w:noProof/>
                <w:color w:val="000000"/>
                <w:sz w:val="22"/>
                <w:szCs w:val="22"/>
              </w:rPr>
              <w:t xml:space="preserve">Navigate to the </w:t>
            </w:r>
            <w:r w:rsidR="006A1CB6" w:rsidRPr="007A54F1">
              <w:rPr>
                <w:rFonts w:asciiTheme="minorHAnsi" w:hAnsiTheme="minorHAnsi" w:cs="Arial"/>
                <w:b/>
                <w:noProof/>
                <w:color w:val="000000"/>
                <w:sz w:val="22"/>
                <w:szCs w:val="22"/>
              </w:rPr>
              <w:t xml:space="preserve">‘Add a New Value’ </w:t>
            </w:r>
            <w:r w:rsidR="00675C17" w:rsidRPr="007A54F1">
              <w:rPr>
                <w:rFonts w:asciiTheme="minorHAnsi" w:hAnsiTheme="minorHAnsi" w:cs="Arial"/>
                <w:b/>
                <w:noProof/>
                <w:color w:val="000000"/>
                <w:sz w:val="22"/>
                <w:szCs w:val="22"/>
              </w:rPr>
              <w:t>t</w:t>
            </w:r>
            <w:r w:rsidR="00E72072" w:rsidRPr="007A54F1">
              <w:rPr>
                <w:rFonts w:asciiTheme="minorHAnsi" w:hAnsiTheme="minorHAnsi" w:cs="Arial"/>
                <w:b/>
                <w:noProof/>
                <w:color w:val="000000"/>
                <w:sz w:val="22"/>
                <w:szCs w:val="22"/>
              </w:rPr>
              <w:t>ab</w:t>
            </w:r>
            <w:r w:rsidR="00E72072" w:rsidRPr="007A54F1">
              <w:rPr>
                <w:rFonts w:asciiTheme="minorHAnsi" w:hAnsiTheme="minorHAnsi" w:cs="Arial"/>
                <w:noProof/>
                <w:color w:val="000000"/>
                <w:sz w:val="22"/>
                <w:szCs w:val="22"/>
              </w:rPr>
              <w:t xml:space="preserve"> to </w:t>
            </w:r>
            <w:r w:rsidR="006A1CB6" w:rsidRPr="007A54F1">
              <w:rPr>
                <w:rFonts w:asciiTheme="minorHAnsi" w:hAnsiTheme="minorHAnsi" w:cs="Arial"/>
                <w:noProof/>
                <w:color w:val="000000"/>
                <w:sz w:val="22"/>
                <w:szCs w:val="22"/>
              </w:rPr>
              <w:t xml:space="preserve">populate the fields as necessary for your voucher creation. </w:t>
            </w:r>
          </w:p>
          <w:p w14:paraId="4651E59D" w14:textId="77777777" w:rsidR="007A54F1" w:rsidRDefault="007A54F1" w:rsidP="007A54F1">
            <w:pPr>
              <w:rPr>
                <w:rFonts w:asciiTheme="minorHAnsi" w:hAnsiTheme="minorHAnsi" w:cs="Arial"/>
                <w:noProof/>
                <w:color w:val="000000"/>
                <w:sz w:val="22"/>
                <w:szCs w:val="22"/>
              </w:rPr>
            </w:pPr>
          </w:p>
          <w:p w14:paraId="364EF921" w14:textId="66B23CA5" w:rsidR="0011216C" w:rsidRPr="007A54F1" w:rsidRDefault="0011216C" w:rsidP="007A54F1">
            <w:pPr>
              <w:rPr>
                <w:rFonts w:asciiTheme="minorHAnsi" w:hAnsiTheme="minorHAnsi" w:cs="Arial"/>
                <w:noProof/>
                <w:color w:val="000000"/>
                <w:sz w:val="22"/>
                <w:szCs w:val="22"/>
              </w:rPr>
            </w:pPr>
            <w:r w:rsidRPr="007A54F1">
              <w:rPr>
                <w:rFonts w:asciiTheme="minorHAnsi" w:hAnsiTheme="minorHAnsi" w:cs="Arial"/>
                <w:noProof/>
                <w:color w:val="000000"/>
                <w:sz w:val="22"/>
                <w:szCs w:val="22"/>
              </w:rPr>
              <w:t xml:space="preserve">The top 3 fields on this page cannot be changed once the ‘Add’ button is clicked. </w:t>
            </w:r>
          </w:p>
          <w:p w14:paraId="31F685A7" w14:textId="55357976" w:rsidR="007A54F1" w:rsidRPr="007A54F1" w:rsidRDefault="007A54F1" w:rsidP="006A1CB6">
            <w:pPr>
              <w:pStyle w:val="ListParagraph"/>
              <w:numPr>
                <w:ilvl w:val="0"/>
                <w:numId w:val="23"/>
              </w:numPr>
              <w:ind w:left="234" w:hanging="234"/>
              <w:rPr>
                <w:rFonts w:asciiTheme="minorHAnsi" w:hAnsiTheme="minorHAnsi" w:cs="Arial"/>
                <w:noProof/>
                <w:color w:val="000000"/>
                <w:sz w:val="22"/>
                <w:szCs w:val="22"/>
              </w:rPr>
            </w:pPr>
            <w:r w:rsidRPr="007A54F1">
              <w:rPr>
                <w:rFonts w:asciiTheme="minorHAnsi" w:hAnsiTheme="minorHAnsi" w:cs="Arial"/>
                <w:noProof/>
                <w:color w:val="000000"/>
                <w:sz w:val="22"/>
                <w:szCs w:val="22"/>
              </w:rPr>
              <w:t xml:space="preserve">The </w:t>
            </w:r>
            <w:r w:rsidRPr="007D55E7">
              <w:rPr>
                <w:rFonts w:asciiTheme="minorHAnsi" w:hAnsiTheme="minorHAnsi" w:cs="Arial"/>
                <w:b/>
                <w:noProof/>
                <w:color w:val="000000"/>
                <w:sz w:val="22"/>
                <w:szCs w:val="22"/>
              </w:rPr>
              <w:t>Business Unit</w:t>
            </w:r>
            <w:r w:rsidRPr="007A54F1">
              <w:rPr>
                <w:rFonts w:asciiTheme="minorHAnsi" w:hAnsiTheme="minorHAnsi" w:cs="Arial"/>
                <w:noProof/>
                <w:color w:val="000000"/>
                <w:sz w:val="22"/>
                <w:szCs w:val="22"/>
              </w:rPr>
              <w:t xml:space="preserve"> will automatically populate</w:t>
            </w:r>
            <w:r w:rsidR="007D55E7">
              <w:rPr>
                <w:rFonts w:asciiTheme="minorHAnsi" w:hAnsiTheme="minorHAnsi" w:cs="Arial"/>
                <w:noProof/>
                <w:color w:val="000000"/>
                <w:sz w:val="22"/>
                <w:szCs w:val="22"/>
              </w:rPr>
              <w:t xml:space="preserve"> based on the </w:t>
            </w:r>
            <w:r w:rsidR="00C34181">
              <w:rPr>
                <w:rFonts w:asciiTheme="minorHAnsi" w:hAnsiTheme="minorHAnsi" w:cs="Arial"/>
                <w:noProof/>
                <w:color w:val="000000"/>
                <w:sz w:val="22"/>
                <w:szCs w:val="22"/>
              </w:rPr>
              <w:t>user’s profile</w:t>
            </w:r>
            <w:r w:rsidRPr="007A54F1">
              <w:rPr>
                <w:rFonts w:asciiTheme="minorHAnsi" w:hAnsiTheme="minorHAnsi" w:cs="Arial"/>
                <w:noProof/>
                <w:color w:val="000000"/>
                <w:sz w:val="22"/>
                <w:szCs w:val="22"/>
              </w:rPr>
              <w:t xml:space="preserve">. </w:t>
            </w:r>
          </w:p>
          <w:p w14:paraId="40F5249E" w14:textId="76031834" w:rsidR="00B436EB" w:rsidRDefault="00B436EB" w:rsidP="007A54F1">
            <w:pPr>
              <w:pStyle w:val="ListParagraph"/>
              <w:numPr>
                <w:ilvl w:val="0"/>
                <w:numId w:val="23"/>
              </w:numPr>
              <w:ind w:left="234" w:hanging="234"/>
              <w:rPr>
                <w:rFonts w:asciiTheme="minorHAnsi" w:hAnsiTheme="minorHAnsi" w:cs="Arial"/>
                <w:noProof/>
                <w:color w:val="000000"/>
                <w:sz w:val="22"/>
                <w:szCs w:val="22"/>
              </w:rPr>
            </w:pPr>
            <w:r>
              <w:rPr>
                <w:rFonts w:asciiTheme="minorHAnsi" w:hAnsiTheme="minorHAnsi" w:cs="Arial"/>
                <w:noProof/>
                <w:color w:val="000000"/>
                <w:sz w:val="22"/>
                <w:szCs w:val="22"/>
              </w:rPr>
              <w:t xml:space="preserve">The </w:t>
            </w:r>
            <w:r w:rsidRPr="00C34181">
              <w:rPr>
                <w:rFonts w:asciiTheme="minorHAnsi" w:hAnsiTheme="minorHAnsi" w:cs="Arial"/>
                <w:b/>
                <w:noProof/>
                <w:color w:val="000000"/>
                <w:sz w:val="22"/>
                <w:szCs w:val="22"/>
              </w:rPr>
              <w:t>Voucher ID</w:t>
            </w:r>
            <w:r>
              <w:rPr>
                <w:rFonts w:asciiTheme="minorHAnsi" w:hAnsiTheme="minorHAnsi" w:cs="Arial"/>
                <w:noProof/>
                <w:color w:val="000000"/>
                <w:sz w:val="22"/>
                <w:szCs w:val="22"/>
              </w:rPr>
              <w:t xml:space="preserve"> field will automatically populate with ‘NEXT’. This will </w:t>
            </w:r>
            <w:r w:rsidR="00125205">
              <w:rPr>
                <w:rFonts w:asciiTheme="minorHAnsi" w:hAnsiTheme="minorHAnsi" w:cs="Arial"/>
                <w:noProof/>
                <w:color w:val="000000"/>
                <w:sz w:val="22"/>
                <w:szCs w:val="22"/>
              </w:rPr>
              <w:t>a</w:t>
            </w:r>
            <w:r w:rsidR="00E71D56">
              <w:rPr>
                <w:rFonts w:asciiTheme="minorHAnsi" w:hAnsiTheme="minorHAnsi" w:cs="Arial"/>
                <w:noProof/>
                <w:color w:val="000000"/>
                <w:sz w:val="22"/>
                <w:szCs w:val="22"/>
              </w:rPr>
              <w:t>s</w:t>
            </w:r>
            <w:r w:rsidR="00125205">
              <w:rPr>
                <w:rFonts w:asciiTheme="minorHAnsi" w:hAnsiTheme="minorHAnsi" w:cs="Arial"/>
                <w:noProof/>
                <w:color w:val="000000"/>
                <w:sz w:val="22"/>
                <w:szCs w:val="22"/>
              </w:rPr>
              <w:t>sign</w:t>
            </w:r>
            <w:r>
              <w:rPr>
                <w:rFonts w:asciiTheme="minorHAnsi" w:hAnsiTheme="minorHAnsi" w:cs="Arial"/>
                <w:noProof/>
                <w:color w:val="000000"/>
                <w:sz w:val="22"/>
                <w:szCs w:val="22"/>
              </w:rPr>
              <w:t xml:space="preserve"> the next available </w:t>
            </w:r>
            <w:r w:rsidR="001E011D">
              <w:rPr>
                <w:rFonts w:asciiTheme="minorHAnsi" w:hAnsiTheme="minorHAnsi" w:cs="Arial"/>
                <w:noProof/>
                <w:color w:val="000000"/>
                <w:sz w:val="22"/>
                <w:szCs w:val="22"/>
              </w:rPr>
              <w:t xml:space="preserve">8 digit number as the </w:t>
            </w:r>
            <w:r w:rsidR="00125205">
              <w:rPr>
                <w:rFonts w:asciiTheme="minorHAnsi" w:hAnsiTheme="minorHAnsi" w:cs="Arial"/>
                <w:noProof/>
                <w:color w:val="000000"/>
                <w:sz w:val="22"/>
                <w:szCs w:val="22"/>
              </w:rPr>
              <w:t>V</w:t>
            </w:r>
            <w:r w:rsidR="001E011D">
              <w:rPr>
                <w:rFonts w:asciiTheme="minorHAnsi" w:hAnsiTheme="minorHAnsi" w:cs="Arial"/>
                <w:noProof/>
                <w:color w:val="000000"/>
                <w:sz w:val="22"/>
                <w:szCs w:val="22"/>
              </w:rPr>
              <w:t xml:space="preserve">oucher ID. This can be modified if a </w:t>
            </w:r>
            <w:r w:rsidR="00125205">
              <w:rPr>
                <w:rFonts w:asciiTheme="minorHAnsi" w:hAnsiTheme="minorHAnsi" w:cs="Arial"/>
                <w:noProof/>
                <w:color w:val="000000"/>
                <w:sz w:val="22"/>
                <w:szCs w:val="22"/>
              </w:rPr>
              <w:t>different Voucher ID is</w:t>
            </w:r>
            <w:r w:rsidR="001E011D">
              <w:rPr>
                <w:rFonts w:asciiTheme="minorHAnsi" w:hAnsiTheme="minorHAnsi" w:cs="Arial"/>
                <w:noProof/>
                <w:color w:val="000000"/>
                <w:sz w:val="22"/>
                <w:szCs w:val="22"/>
              </w:rPr>
              <w:t xml:space="preserve"> desired.</w:t>
            </w:r>
          </w:p>
          <w:p w14:paraId="73CB0CFA" w14:textId="1CA70E36" w:rsidR="00F00B89" w:rsidRPr="00335046" w:rsidRDefault="007A48D5" w:rsidP="00335046">
            <w:pPr>
              <w:pStyle w:val="ListParagraph"/>
              <w:numPr>
                <w:ilvl w:val="0"/>
                <w:numId w:val="23"/>
              </w:numPr>
              <w:ind w:left="234" w:hanging="234"/>
              <w:rPr>
                <w:rFonts w:asciiTheme="minorHAnsi" w:hAnsiTheme="minorHAnsi"/>
                <w:noProof/>
                <w:sz w:val="22"/>
                <w:szCs w:val="22"/>
              </w:rPr>
            </w:pPr>
            <w:r>
              <w:rPr>
                <w:rFonts w:asciiTheme="minorHAnsi" w:hAnsiTheme="minorHAnsi" w:cs="Arial"/>
                <w:noProof/>
                <w:color w:val="000000"/>
                <w:sz w:val="22"/>
                <w:szCs w:val="22"/>
              </w:rPr>
              <w:t>Use the dropdown m</w:t>
            </w:r>
            <w:r w:rsidR="00C34181">
              <w:rPr>
                <w:rFonts w:asciiTheme="minorHAnsi" w:hAnsiTheme="minorHAnsi" w:cs="Arial"/>
                <w:noProof/>
                <w:color w:val="000000"/>
                <w:sz w:val="22"/>
                <w:szCs w:val="22"/>
              </w:rPr>
              <w:t>e</w:t>
            </w:r>
            <w:r>
              <w:rPr>
                <w:rFonts w:asciiTheme="minorHAnsi" w:hAnsiTheme="minorHAnsi" w:cs="Arial"/>
                <w:noProof/>
                <w:color w:val="000000"/>
                <w:sz w:val="22"/>
                <w:szCs w:val="22"/>
              </w:rPr>
              <w:t>nu to select</w:t>
            </w:r>
            <w:r w:rsidR="00650389" w:rsidRPr="007A54F1">
              <w:rPr>
                <w:rFonts w:asciiTheme="minorHAnsi" w:hAnsiTheme="minorHAnsi" w:cs="Arial"/>
                <w:noProof/>
                <w:color w:val="000000"/>
                <w:sz w:val="22"/>
                <w:szCs w:val="22"/>
              </w:rPr>
              <w:t xml:space="preserve"> </w:t>
            </w:r>
            <w:r w:rsidRPr="00C34181">
              <w:rPr>
                <w:rFonts w:asciiTheme="minorHAnsi" w:hAnsiTheme="minorHAnsi" w:cs="Arial"/>
                <w:b/>
                <w:noProof/>
                <w:color w:val="000000"/>
                <w:sz w:val="22"/>
                <w:szCs w:val="22"/>
              </w:rPr>
              <w:t>V</w:t>
            </w:r>
            <w:r w:rsidR="00650389" w:rsidRPr="00C34181">
              <w:rPr>
                <w:rFonts w:asciiTheme="minorHAnsi" w:hAnsiTheme="minorHAnsi" w:cs="Arial"/>
                <w:b/>
                <w:noProof/>
                <w:color w:val="000000"/>
                <w:sz w:val="22"/>
                <w:szCs w:val="22"/>
              </w:rPr>
              <w:t xml:space="preserve">oucher </w:t>
            </w:r>
            <w:r w:rsidRPr="00C34181">
              <w:rPr>
                <w:rFonts w:asciiTheme="minorHAnsi" w:hAnsiTheme="minorHAnsi" w:cs="Arial"/>
                <w:b/>
                <w:noProof/>
                <w:color w:val="000000"/>
                <w:sz w:val="22"/>
                <w:szCs w:val="22"/>
              </w:rPr>
              <w:t>S</w:t>
            </w:r>
            <w:r w:rsidR="00650389" w:rsidRPr="00C34181">
              <w:rPr>
                <w:rFonts w:asciiTheme="minorHAnsi" w:hAnsiTheme="minorHAnsi" w:cs="Arial"/>
                <w:b/>
                <w:noProof/>
                <w:color w:val="000000"/>
                <w:sz w:val="22"/>
                <w:szCs w:val="22"/>
              </w:rPr>
              <w:t>tyle</w:t>
            </w:r>
            <w:r>
              <w:rPr>
                <w:rFonts w:asciiTheme="minorHAnsi" w:hAnsiTheme="minorHAnsi" w:cs="Arial"/>
                <w:noProof/>
                <w:color w:val="000000"/>
                <w:sz w:val="22"/>
                <w:szCs w:val="22"/>
              </w:rPr>
              <w:t>.</w:t>
            </w:r>
            <w:r w:rsidR="00650389" w:rsidRPr="007A54F1">
              <w:rPr>
                <w:rFonts w:asciiTheme="minorHAnsi" w:hAnsiTheme="minorHAnsi" w:cs="Arial"/>
                <w:noProof/>
                <w:color w:val="000000"/>
                <w:sz w:val="22"/>
                <w:szCs w:val="22"/>
              </w:rPr>
              <w:t xml:space="preserve"> </w:t>
            </w:r>
            <w:r w:rsidR="00901A55">
              <w:rPr>
                <w:rFonts w:asciiTheme="minorHAnsi" w:hAnsiTheme="minorHAnsi" w:cs="Arial"/>
                <w:noProof/>
                <w:color w:val="000000"/>
                <w:sz w:val="22"/>
                <w:szCs w:val="22"/>
              </w:rPr>
              <w:t>Different fields</w:t>
            </w:r>
            <w:r w:rsidR="002548FE">
              <w:rPr>
                <w:rFonts w:asciiTheme="minorHAnsi" w:hAnsiTheme="minorHAnsi" w:cs="Arial"/>
                <w:noProof/>
                <w:color w:val="000000"/>
                <w:sz w:val="22"/>
                <w:szCs w:val="22"/>
              </w:rPr>
              <w:t xml:space="preserve"> on this page</w:t>
            </w:r>
            <w:r w:rsidR="00901A55">
              <w:rPr>
                <w:rFonts w:asciiTheme="minorHAnsi" w:hAnsiTheme="minorHAnsi" w:cs="Arial"/>
                <w:noProof/>
                <w:color w:val="000000"/>
                <w:sz w:val="22"/>
                <w:szCs w:val="22"/>
              </w:rPr>
              <w:t xml:space="preserve"> will be available based on the Voucher Style that is selected. </w:t>
            </w:r>
          </w:p>
          <w:p w14:paraId="4FD8ED15" w14:textId="77777777" w:rsidR="00335046" w:rsidRPr="00335046" w:rsidRDefault="00335046" w:rsidP="00335046">
            <w:pPr>
              <w:pStyle w:val="ListParagraph"/>
              <w:ind w:left="234"/>
              <w:rPr>
                <w:rFonts w:asciiTheme="minorHAnsi" w:hAnsiTheme="minorHAnsi"/>
                <w:noProof/>
                <w:sz w:val="22"/>
                <w:szCs w:val="22"/>
              </w:rPr>
            </w:pPr>
          </w:p>
          <w:p w14:paraId="6A9E03B2" w14:textId="7A362F38" w:rsidR="004E54EA" w:rsidRPr="00F00B89" w:rsidRDefault="00650389" w:rsidP="00F00B89">
            <w:pPr>
              <w:pStyle w:val="ListParagraph"/>
              <w:ind w:left="234"/>
              <w:rPr>
                <w:rFonts w:asciiTheme="minorHAnsi" w:hAnsiTheme="minorHAnsi"/>
                <w:i/>
                <w:noProof/>
                <w:sz w:val="22"/>
                <w:szCs w:val="22"/>
              </w:rPr>
            </w:pPr>
            <w:r w:rsidRPr="00F00B89">
              <w:rPr>
                <w:rFonts w:asciiTheme="minorHAnsi" w:hAnsiTheme="minorHAnsi" w:cs="Arial"/>
                <w:i/>
                <w:noProof/>
                <w:color w:val="000000"/>
                <w:sz w:val="22"/>
                <w:szCs w:val="22"/>
              </w:rPr>
              <w:t xml:space="preserve">See the </w:t>
            </w:r>
            <w:r w:rsidR="00335046" w:rsidRPr="00335046">
              <w:rPr>
                <w:rFonts w:asciiTheme="minorHAnsi" w:hAnsiTheme="minorHAnsi" w:cs="Arial"/>
                <w:b/>
                <w:i/>
                <w:noProof/>
                <w:color w:val="000000"/>
                <w:sz w:val="22"/>
                <w:szCs w:val="22"/>
              </w:rPr>
              <w:t>Voucher Style T</w:t>
            </w:r>
            <w:r w:rsidRPr="00335046">
              <w:rPr>
                <w:rFonts w:asciiTheme="minorHAnsi" w:hAnsiTheme="minorHAnsi" w:cs="Arial"/>
                <w:b/>
                <w:i/>
                <w:noProof/>
                <w:color w:val="000000"/>
                <w:sz w:val="22"/>
                <w:szCs w:val="22"/>
              </w:rPr>
              <w:t>able</w:t>
            </w:r>
            <w:r w:rsidR="00335046">
              <w:rPr>
                <w:rFonts w:asciiTheme="minorHAnsi" w:hAnsiTheme="minorHAnsi" w:cs="Arial"/>
                <w:i/>
                <w:noProof/>
                <w:color w:val="000000"/>
                <w:sz w:val="22"/>
                <w:szCs w:val="22"/>
              </w:rPr>
              <w:t xml:space="preserve"> on page 4</w:t>
            </w:r>
            <w:r w:rsidRPr="00F00B89">
              <w:rPr>
                <w:rFonts w:asciiTheme="minorHAnsi" w:hAnsiTheme="minorHAnsi" w:cs="Arial"/>
                <w:i/>
                <w:noProof/>
                <w:color w:val="000000"/>
                <w:sz w:val="22"/>
                <w:szCs w:val="22"/>
              </w:rPr>
              <w:t xml:space="preserve"> </w:t>
            </w:r>
            <w:r w:rsidR="007A250E" w:rsidRPr="00F00B89">
              <w:rPr>
                <w:rFonts w:asciiTheme="minorHAnsi" w:hAnsiTheme="minorHAnsi" w:cs="Arial"/>
                <w:i/>
                <w:noProof/>
                <w:color w:val="000000"/>
                <w:sz w:val="22"/>
                <w:szCs w:val="22"/>
              </w:rPr>
              <w:t>for</w:t>
            </w:r>
            <w:r w:rsidR="002317E0" w:rsidRPr="00F00B89">
              <w:rPr>
                <w:rFonts w:asciiTheme="minorHAnsi" w:hAnsiTheme="minorHAnsi" w:cs="Arial"/>
                <w:i/>
                <w:noProof/>
                <w:color w:val="000000"/>
                <w:sz w:val="22"/>
                <w:szCs w:val="22"/>
              </w:rPr>
              <w:t xml:space="preserve"> additional</w:t>
            </w:r>
            <w:r w:rsidR="007A250E" w:rsidRPr="00F00B89">
              <w:rPr>
                <w:rFonts w:asciiTheme="minorHAnsi" w:hAnsiTheme="minorHAnsi" w:cs="Arial"/>
                <w:i/>
                <w:noProof/>
                <w:color w:val="000000"/>
                <w:sz w:val="22"/>
                <w:szCs w:val="22"/>
              </w:rPr>
              <w:t xml:space="preserve"> information on Voucher Styles</w:t>
            </w:r>
            <w:r w:rsidR="007A48D5" w:rsidRPr="00F00B89">
              <w:rPr>
                <w:rFonts w:asciiTheme="minorHAnsi" w:hAnsiTheme="minorHAnsi" w:cs="Arial"/>
                <w:i/>
                <w:noProof/>
                <w:color w:val="000000"/>
                <w:sz w:val="22"/>
                <w:szCs w:val="22"/>
              </w:rPr>
              <w:t>.</w:t>
            </w:r>
          </w:p>
        </w:tc>
        <w:tc>
          <w:tcPr>
            <w:tcW w:w="7087" w:type="dxa"/>
            <w:gridSpan w:val="2"/>
          </w:tcPr>
          <w:p w14:paraId="6A9E03B3" w14:textId="77777777" w:rsidR="004B03D9" w:rsidRPr="00506445" w:rsidRDefault="004B03D9" w:rsidP="00506445">
            <w:pPr>
              <w:rPr>
                <w:rFonts w:asciiTheme="minorHAnsi" w:hAnsiTheme="minorHAnsi"/>
                <w:noProof/>
                <w:sz w:val="22"/>
                <w:szCs w:val="22"/>
              </w:rPr>
            </w:pPr>
          </w:p>
          <w:p w14:paraId="6A9E03B4" w14:textId="63D54891" w:rsidR="002E39F4" w:rsidRDefault="0087105B" w:rsidP="0077141D">
            <w:pPr>
              <w:jc w:val="center"/>
              <w:rPr>
                <w:rFonts w:asciiTheme="minorHAnsi" w:hAnsiTheme="minorHAnsi"/>
                <w:noProof/>
                <w:sz w:val="22"/>
                <w:szCs w:val="22"/>
              </w:rPr>
            </w:pPr>
            <w:r>
              <w:rPr>
                <w:noProof/>
              </w:rPr>
              <w:drawing>
                <wp:inline distT="0" distB="0" distL="0" distR="0" wp14:anchorId="1BB03139" wp14:editId="5822D912">
                  <wp:extent cx="3935967" cy="4019550"/>
                  <wp:effectExtent l="0" t="0" r="7620" b="0"/>
                  <wp:docPr id="2" name="Picture 2" descr="C:\Users\RHEITM~1\AppData\Local\Temp\SNAGHTML3a4d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ITM~1\AppData\Local\Temp\SNAGHTML3a4de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2143" cy="4066706"/>
                          </a:xfrm>
                          <a:prstGeom prst="rect">
                            <a:avLst/>
                          </a:prstGeom>
                          <a:noFill/>
                          <a:ln>
                            <a:noFill/>
                          </a:ln>
                        </pic:spPr>
                      </pic:pic>
                    </a:graphicData>
                  </a:graphic>
                </wp:inline>
              </w:drawing>
            </w:r>
          </w:p>
          <w:p w14:paraId="177E9563" w14:textId="77777777" w:rsidR="00127101" w:rsidRDefault="00127101" w:rsidP="00387BC5">
            <w:pPr>
              <w:rPr>
                <w:rFonts w:asciiTheme="minorHAnsi" w:hAnsiTheme="minorHAnsi"/>
                <w:noProof/>
                <w:sz w:val="22"/>
                <w:szCs w:val="22"/>
              </w:rPr>
            </w:pPr>
          </w:p>
          <w:p w14:paraId="57D58558" w14:textId="02912986" w:rsidR="00387BC5" w:rsidRPr="00C512F0" w:rsidRDefault="00387BC5" w:rsidP="00387BC5">
            <w:pPr>
              <w:rPr>
                <w:rFonts w:asciiTheme="minorHAnsi" w:hAnsiTheme="minorHAnsi"/>
                <w:noProof/>
                <w:sz w:val="22"/>
                <w:szCs w:val="22"/>
              </w:rPr>
            </w:pPr>
            <w:r>
              <w:rPr>
                <w:rFonts w:asciiTheme="minorHAnsi" w:hAnsiTheme="minorHAnsi"/>
                <w:noProof/>
                <w:sz w:val="22"/>
                <w:szCs w:val="22"/>
              </w:rPr>
              <w:t>*Note:  If a PO</w:t>
            </w:r>
            <w:r w:rsidR="003D511F">
              <w:rPr>
                <w:rFonts w:asciiTheme="minorHAnsi" w:hAnsiTheme="minorHAnsi"/>
                <w:noProof/>
                <w:sz w:val="22"/>
                <w:szCs w:val="22"/>
              </w:rPr>
              <w:t xml:space="preserve"> Number</w:t>
            </w:r>
            <w:r>
              <w:rPr>
                <w:rFonts w:asciiTheme="minorHAnsi" w:hAnsiTheme="minorHAnsi"/>
                <w:noProof/>
                <w:sz w:val="22"/>
                <w:szCs w:val="22"/>
              </w:rPr>
              <w:t xml:space="preserve"> is populated on the Entry Page, the voucher will be set up as a </w:t>
            </w:r>
            <w:r w:rsidR="003D511F">
              <w:rPr>
                <w:rFonts w:asciiTheme="minorHAnsi" w:hAnsiTheme="minorHAnsi"/>
                <w:noProof/>
                <w:sz w:val="22"/>
                <w:szCs w:val="22"/>
              </w:rPr>
              <w:t>‘</w:t>
            </w:r>
            <w:r>
              <w:rPr>
                <w:rFonts w:asciiTheme="minorHAnsi" w:hAnsiTheme="minorHAnsi"/>
                <w:noProof/>
                <w:sz w:val="22"/>
                <w:szCs w:val="22"/>
              </w:rPr>
              <w:t>PO Voucher</w:t>
            </w:r>
            <w:r w:rsidR="003D511F">
              <w:rPr>
                <w:rFonts w:asciiTheme="minorHAnsi" w:hAnsiTheme="minorHAnsi"/>
                <w:noProof/>
                <w:sz w:val="22"/>
                <w:szCs w:val="22"/>
              </w:rPr>
              <w:t>’</w:t>
            </w:r>
            <w:r>
              <w:rPr>
                <w:rFonts w:asciiTheme="minorHAnsi" w:hAnsiTheme="minorHAnsi"/>
                <w:noProof/>
                <w:sz w:val="22"/>
                <w:szCs w:val="22"/>
              </w:rPr>
              <w:t xml:space="preserve"> </w:t>
            </w:r>
            <w:r w:rsidR="00380055">
              <w:rPr>
                <w:rFonts w:asciiTheme="minorHAnsi" w:hAnsiTheme="minorHAnsi"/>
                <w:noProof/>
                <w:sz w:val="22"/>
                <w:szCs w:val="22"/>
              </w:rPr>
              <w:t>which requires</w:t>
            </w:r>
            <w:r w:rsidR="00D06DAF">
              <w:rPr>
                <w:rFonts w:asciiTheme="minorHAnsi" w:hAnsiTheme="minorHAnsi"/>
                <w:noProof/>
                <w:sz w:val="22"/>
                <w:szCs w:val="22"/>
              </w:rPr>
              <w:t xml:space="preserve"> </w:t>
            </w:r>
            <w:r>
              <w:rPr>
                <w:rFonts w:asciiTheme="minorHAnsi" w:hAnsiTheme="minorHAnsi"/>
                <w:noProof/>
                <w:sz w:val="22"/>
                <w:szCs w:val="22"/>
              </w:rPr>
              <w:t>at least one Invoice Line</w:t>
            </w:r>
            <w:r w:rsidR="00380055">
              <w:rPr>
                <w:rFonts w:asciiTheme="minorHAnsi" w:hAnsiTheme="minorHAnsi"/>
                <w:noProof/>
                <w:sz w:val="22"/>
                <w:szCs w:val="22"/>
              </w:rPr>
              <w:t xml:space="preserve"> </w:t>
            </w:r>
            <w:r w:rsidR="00A17E68">
              <w:rPr>
                <w:rFonts w:asciiTheme="minorHAnsi" w:hAnsiTheme="minorHAnsi"/>
                <w:noProof/>
                <w:sz w:val="22"/>
                <w:szCs w:val="22"/>
              </w:rPr>
              <w:t>be</w:t>
            </w:r>
            <w:r>
              <w:rPr>
                <w:rFonts w:asciiTheme="minorHAnsi" w:hAnsiTheme="minorHAnsi"/>
                <w:noProof/>
                <w:sz w:val="22"/>
                <w:szCs w:val="22"/>
              </w:rPr>
              <w:t xml:space="preserve"> associated to a P</w:t>
            </w:r>
            <w:r w:rsidR="001F2DD7">
              <w:rPr>
                <w:rFonts w:asciiTheme="minorHAnsi" w:hAnsiTheme="minorHAnsi"/>
                <w:noProof/>
                <w:sz w:val="22"/>
                <w:szCs w:val="22"/>
              </w:rPr>
              <w:t>urchase Order</w:t>
            </w:r>
            <w:r>
              <w:rPr>
                <w:rFonts w:asciiTheme="minorHAnsi" w:hAnsiTheme="minorHAnsi"/>
                <w:noProof/>
                <w:sz w:val="22"/>
                <w:szCs w:val="22"/>
              </w:rPr>
              <w:t>.</w:t>
            </w:r>
          </w:p>
          <w:p w14:paraId="6A9E03B6" w14:textId="77777777" w:rsidR="0077141D" w:rsidRPr="00506445" w:rsidRDefault="0077141D" w:rsidP="0077141D">
            <w:pPr>
              <w:jc w:val="center"/>
              <w:rPr>
                <w:rFonts w:asciiTheme="minorHAnsi" w:hAnsiTheme="minorHAnsi"/>
                <w:noProof/>
                <w:sz w:val="22"/>
                <w:szCs w:val="22"/>
              </w:rPr>
            </w:pPr>
          </w:p>
        </w:tc>
      </w:tr>
      <w:tr w:rsidR="00B21163" w:rsidRPr="009063D6" w14:paraId="093F5BDA" w14:textId="77777777" w:rsidTr="00DE43CD">
        <w:trPr>
          <w:gridAfter w:val="1"/>
          <w:wAfter w:w="229" w:type="dxa"/>
        </w:trPr>
        <w:tc>
          <w:tcPr>
            <w:tcW w:w="10458" w:type="dxa"/>
            <w:gridSpan w:val="3"/>
          </w:tcPr>
          <w:p w14:paraId="5A6CEE57" w14:textId="6C5B041E" w:rsidR="00B21163" w:rsidRDefault="00550A8C" w:rsidP="007A54F1">
            <w:pPr>
              <w:rPr>
                <w:rFonts w:asciiTheme="minorHAnsi" w:hAnsiTheme="minorHAnsi" w:cs="Arial"/>
                <w:b/>
                <w:noProof/>
                <w:color w:val="000000"/>
                <w:sz w:val="22"/>
                <w:szCs w:val="22"/>
              </w:rPr>
            </w:pPr>
            <w:r>
              <w:lastRenderedPageBreak/>
              <w:br w:type="page"/>
            </w:r>
            <w:r w:rsidR="00B21163">
              <w:rPr>
                <w:rFonts w:ascii="Arial" w:hAnsi="Arial" w:cs="Arial"/>
                <w:b/>
                <w:noProof/>
              </w:rPr>
              <w:t xml:space="preserve">2. </w:t>
            </w:r>
            <w:r w:rsidR="00B21163">
              <w:rPr>
                <w:rFonts w:asciiTheme="minorHAnsi" w:hAnsiTheme="minorHAnsi" w:cs="Arial"/>
                <w:b/>
                <w:noProof/>
                <w:color w:val="000000"/>
                <w:sz w:val="22"/>
                <w:szCs w:val="22"/>
              </w:rPr>
              <w:t xml:space="preserve">Populate the </w:t>
            </w:r>
            <w:r w:rsidR="00EE42CD">
              <w:rPr>
                <w:rFonts w:asciiTheme="minorHAnsi" w:hAnsiTheme="minorHAnsi" w:cs="Arial"/>
                <w:b/>
                <w:noProof/>
                <w:color w:val="000000"/>
                <w:sz w:val="22"/>
                <w:szCs w:val="22"/>
              </w:rPr>
              <w:t xml:space="preserve">fields in the </w:t>
            </w:r>
            <w:r w:rsidR="00B21163">
              <w:rPr>
                <w:rFonts w:asciiTheme="minorHAnsi" w:hAnsiTheme="minorHAnsi" w:cs="Arial"/>
                <w:b/>
                <w:noProof/>
                <w:color w:val="000000"/>
                <w:sz w:val="22"/>
                <w:szCs w:val="22"/>
              </w:rPr>
              <w:t>Invoice Information tab of the voucher</w:t>
            </w:r>
          </w:p>
          <w:p w14:paraId="2A44CF3A" w14:textId="77777777" w:rsidR="00B21163" w:rsidRDefault="00B21163" w:rsidP="007A54F1">
            <w:pPr>
              <w:rPr>
                <w:rFonts w:asciiTheme="minorHAnsi" w:hAnsiTheme="minorHAnsi" w:cs="Arial"/>
                <w:noProof/>
                <w:color w:val="000000"/>
                <w:sz w:val="22"/>
                <w:szCs w:val="22"/>
              </w:rPr>
            </w:pPr>
            <w:r w:rsidRPr="00243754">
              <w:rPr>
                <w:rFonts w:asciiTheme="minorHAnsi" w:hAnsiTheme="minorHAnsi" w:cs="Arial"/>
                <w:noProof/>
                <w:color w:val="000000"/>
                <w:sz w:val="22"/>
                <w:szCs w:val="22"/>
              </w:rPr>
              <w:t xml:space="preserve">At the </w:t>
            </w:r>
            <w:r>
              <w:rPr>
                <w:rFonts w:asciiTheme="minorHAnsi" w:hAnsiTheme="minorHAnsi" w:cs="Arial"/>
                <w:noProof/>
                <w:color w:val="000000"/>
                <w:sz w:val="22"/>
                <w:szCs w:val="22"/>
              </w:rPr>
              <w:t>h</w:t>
            </w:r>
            <w:r w:rsidRPr="00243754">
              <w:rPr>
                <w:rFonts w:asciiTheme="minorHAnsi" w:hAnsiTheme="minorHAnsi" w:cs="Arial"/>
                <w:noProof/>
                <w:color w:val="000000"/>
                <w:sz w:val="22"/>
                <w:szCs w:val="22"/>
              </w:rPr>
              <w:t>eader level of the Invoice Information tab there are several fields to complete.</w:t>
            </w:r>
            <w:r>
              <w:rPr>
                <w:rFonts w:asciiTheme="minorHAnsi" w:hAnsiTheme="minorHAnsi" w:cs="Arial"/>
                <w:noProof/>
                <w:color w:val="000000"/>
                <w:sz w:val="22"/>
                <w:szCs w:val="22"/>
              </w:rPr>
              <w:t xml:space="preserve"> </w:t>
            </w:r>
          </w:p>
          <w:p w14:paraId="558A2CE9" w14:textId="1035F2F1" w:rsidR="00B21163" w:rsidRDefault="00A51B6A" w:rsidP="006853FB">
            <w:pPr>
              <w:jc w:val="center"/>
              <w:rPr>
                <w:rFonts w:asciiTheme="minorHAnsi" w:hAnsiTheme="minorHAnsi" w:cs="Arial"/>
                <w:noProof/>
                <w:color w:val="000000"/>
                <w:sz w:val="22"/>
                <w:szCs w:val="22"/>
              </w:rPr>
            </w:pPr>
            <w:r>
              <w:rPr>
                <w:noProof/>
              </w:rPr>
              <w:drawing>
                <wp:inline distT="0" distB="0" distL="0" distR="0" wp14:anchorId="7993045C" wp14:editId="32B4081C">
                  <wp:extent cx="6451600" cy="1766859"/>
                  <wp:effectExtent l="0" t="0" r="6350" b="5080"/>
                  <wp:docPr id="3" name="Picture 3" descr="C:\Users\RHEITM~1\AppData\Local\Temp\SNAGHTML4e6e9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ITM~1\AppData\Local\Temp\SNAGHTML4e6e9d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1790" cy="1810729"/>
                          </a:xfrm>
                          <a:prstGeom prst="rect">
                            <a:avLst/>
                          </a:prstGeom>
                          <a:noFill/>
                          <a:ln>
                            <a:noFill/>
                          </a:ln>
                        </pic:spPr>
                      </pic:pic>
                    </a:graphicData>
                  </a:graphic>
                </wp:inline>
              </w:drawing>
            </w:r>
          </w:p>
          <w:p w14:paraId="20005720" w14:textId="64AD776C" w:rsidR="00B21163" w:rsidRPr="006B66B5" w:rsidRDefault="00B21163" w:rsidP="007A54F1">
            <w:pPr>
              <w:rPr>
                <w:rFonts w:asciiTheme="minorHAnsi" w:hAnsiTheme="minorHAnsi" w:cs="Arial"/>
                <w:noProof/>
                <w:color w:val="000000"/>
                <w:sz w:val="20"/>
                <w:szCs w:val="20"/>
              </w:rPr>
            </w:pPr>
            <w:r w:rsidRPr="006B66B5">
              <w:rPr>
                <w:rFonts w:asciiTheme="minorHAnsi" w:hAnsiTheme="minorHAnsi" w:cs="Arial"/>
                <w:noProof/>
                <w:color w:val="000000"/>
                <w:sz w:val="20"/>
                <w:szCs w:val="20"/>
              </w:rPr>
              <w:t>Those with asterisks are required fields</w:t>
            </w:r>
            <w:r w:rsidR="003B0495">
              <w:rPr>
                <w:rFonts w:asciiTheme="minorHAnsi" w:hAnsiTheme="minorHAnsi" w:cs="Arial"/>
                <w:noProof/>
                <w:color w:val="000000"/>
                <w:sz w:val="20"/>
                <w:szCs w:val="20"/>
              </w:rPr>
              <w:t>.</w:t>
            </w:r>
          </w:p>
          <w:tbl>
            <w:tblPr>
              <w:tblW w:w="10060" w:type="dxa"/>
              <w:jc w:val="center"/>
              <w:tblLayout w:type="fixed"/>
              <w:tblLook w:val="04A0" w:firstRow="1" w:lastRow="0" w:firstColumn="1" w:lastColumn="0" w:noHBand="0" w:noVBand="1"/>
            </w:tblPr>
            <w:tblGrid>
              <w:gridCol w:w="580"/>
              <w:gridCol w:w="1720"/>
              <w:gridCol w:w="7760"/>
            </w:tblGrid>
            <w:tr w:rsidR="00772A22" w:rsidRPr="00772A22" w14:paraId="355A201C" w14:textId="77777777" w:rsidTr="00DA5095">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958A" w14:textId="77777777" w:rsidR="00772A22" w:rsidRPr="00772A22" w:rsidRDefault="00772A22" w:rsidP="00772A22">
                  <w:pPr>
                    <w:rPr>
                      <w:rFonts w:ascii="Calibri" w:hAnsi="Calibri" w:cs="Calibri"/>
                      <w:b/>
                      <w:bCs/>
                      <w:color w:val="000000"/>
                      <w:sz w:val="28"/>
                      <w:szCs w:val="28"/>
                    </w:rPr>
                  </w:pPr>
                  <w:r w:rsidRPr="00772A22">
                    <w:rPr>
                      <w:rFonts w:ascii="Calibri" w:hAnsi="Calibri" w:cs="Calibri"/>
                      <w:b/>
                      <w:bCs/>
                      <w:color w:val="000000"/>
                      <w:sz w:val="28"/>
                      <w:szCs w:val="28"/>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3F4A8635" w14:textId="77777777" w:rsidR="00772A22" w:rsidRPr="00772A22" w:rsidRDefault="00772A22" w:rsidP="00772A22">
                  <w:pPr>
                    <w:rPr>
                      <w:rFonts w:ascii="Calibri" w:hAnsi="Calibri" w:cs="Calibri"/>
                      <w:b/>
                      <w:bCs/>
                      <w:color w:val="000000"/>
                      <w:sz w:val="22"/>
                      <w:szCs w:val="22"/>
                    </w:rPr>
                  </w:pPr>
                  <w:r w:rsidRPr="00772A22">
                    <w:rPr>
                      <w:rFonts w:ascii="Calibri" w:hAnsi="Calibri" w:cs="Calibri"/>
                      <w:b/>
                      <w:bCs/>
                      <w:color w:val="000000"/>
                      <w:sz w:val="22"/>
                      <w:szCs w:val="22"/>
                    </w:rPr>
                    <w:t>Field</w:t>
                  </w:r>
                </w:p>
              </w:tc>
              <w:tc>
                <w:tcPr>
                  <w:tcW w:w="7760" w:type="dxa"/>
                  <w:tcBorders>
                    <w:top w:val="single" w:sz="4" w:space="0" w:color="auto"/>
                    <w:left w:val="nil"/>
                    <w:bottom w:val="single" w:sz="4" w:space="0" w:color="auto"/>
                    <w:right w:val="single" w:sz="4" w:space="0" w:color="auto"/>
                  </w:tcBorders>
                  <w:shd w:val="clear" w:color="auto" w:fill="auto"/>
                  <w:vAlign w:val="bottom"/>
                  <w:hideMark/>
                </w:tcPr>
                <w:p w14:paraId="290B6623" w14:textId="77777777" w:rsidR="00772A22" w:rsidRPr="00772A22" w:rsidRDefault="00772A22" w:rsidP="00772A22">
                  <w:pPr>
                    <w:rPr>
                      <w:rFonts w:ascii="Calibri" w:hAnsi="Calibri" w:cs="Calibri"/>
                      <w:b/>
                      <w:bCs/>
                      <w:color w:val="000000"/>
                      <w:sz w:val="22"/>
                      <w:szCs w:val="22"/>
                    </w:rPr>
                  </w:pPr>
                  <w:r w:rsidRPr="00772A22">
                    <w:rPr>
                      <w:rFonts w:ascii="Calibri" w:hAnsi="Calibri" w:cs="Calibri"/>
                      <w:b/>
                      <w:bCs/>
                      <w:color w:val="000000"/>
                      <w:sz w:val="22"/>
                      <w:szCs w:val="22"/>
                    </w:rPr>
                    <w:t>Description</w:t>
                  </w:r>
                </w:p>
              </w:tc>
            </w:tr>
            <w:tr w:rsidR="00772A22" w:rsidRPr="00772A22" w14:paraId="232890E5" w14:textId="77777777" w:rsidTr="00DA5095">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8EB261"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a.</w:t>
                  </w:r>
                </w:p>
              </w:tc>
              <w:tc>
                <w:tcPr>
                  <w:tcW w:w="1720" w:type="dxa"/>
                  <w:tcBorders>
                    <w:top w:val="nil"/>
                    <w:left w:val="nil"/>
                    <w:bottom w:val="single" w:sz="4" w:space="0" w:color="auto"/>
                    <w:right w:val="single" w:sz="4" w:space="0" w:color="auto"/>
                  </w:tcBorders>
                  <w:shd w:val="clear" w:color="auto" w:fill="auto"/>
                  <w:noWrap/>
                  <w:vAlign w:val="center"/>
                  <w:hideMark/>
                </w:tcPr>
                <w:p w14:paraId="465E15C5"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*Invoice No</w:t>
                  </w:r>
                </w:p>
              </w:tc>
              <w:tc>
                <w:tcPr>
                  <w:tcW w:w="7760" w:type="dxa"/>
                  <w:tcBorders>
                    <w:top w:val="nil"/>
                    <w:left w:val="nil"/>
                    <w:bottom w:val="single" w:sz="4" w:space="0" w:color="auto"/>
                    <w:right w:val="single" w:sz="4" w:space="0" w:color="auto"/>
                  </w:tcBorders>
                  <w:shd w:val="clear" w:color="auto" w:fill="auto"/>
                  <w:vAlign w:val="center"/>
                  <w:hideMark/>
                </w:tcPr>
                <w:p w14:paraId="2275FAF0"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 xml:space="preserve">It is best practice to enter this as just the Invoice number with no leading words or </w:t>
                  </w:r>
                  <w:proofErr w:type="gramStart"/>
                  <w:r w:rsidRPr="00772A22">
                    <w:rPr>
                      <w:rFonts w:ascii="Calibri" w:hAnsi="Calibri" w:cs="Calibri"/>
                      <w:color w:val="000000"/>
                      <w:sz w:val="18"/>
                      <w:szCs w:val="18"/>
                    </w:rPr>
                    <w:t>symbols</w:t>
                  </w:r>
                  <w:proofErr w:type="gramEnd"/>
                  <w:r w:rsidRPr="00772A22">
                    <w:rPr>
                      <w:rFonts w:ascii="Calibri" w:hAnsi="Calibri" w:cs="Calibri"/>
                      <w:color w:val="000000"/>
                      <w:sz w:val="18"/>
                      <w:szCs w:val="18"/>
                    </w:rPr>
                    <w:t xml:space="preserve"> so the Supplier can recognize it when they look up information on the payment received.</w:t>
                  </w:r>
                </w:p>
              </w:tc>
            </w:tr>
            <w:tr w:rsidR="00772A22" w:rsidRPr="00772A22" w14:paraId="766DA143"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4B7482"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b.</w:t>
                  </w:r>
                </w:p>
              </w:tc>
              <w:tc>
                <w:tcPr>
                  <w:tcW w:w="1720" w:type="dxa"/>
                  <w:tcBorders>
                    <w:top w:val="nil"/>
                    <w:left w:val="nil"/>
                    <w:bottom w:val="single" w:sz="4" w:space="0" w:color="auto"/>
                    <w:right w:val="single" w:sz="4" w:space="0" w:color="auto"/>
                  </w:tcBorders>
                  <w:shd w:val="clear" w:color="auto" w:fill="auto"/>
                  <w:noWrap/>
                  <w:vAlign w:val="center"/>
                  <w:hideMark/>
                </w:tcPr>
                <w:p w14:paraId="77C19ED4"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*Accounting Date </w:t>
                  </w:r>
                </w:p>
              </w:tc>
              <w:tc>
                <w:tcPr>
                  <w:tcW w:w="7760" w:type="dxa"/>
                  <w:tcBorders>
                    <w:top w:val="nil"/>
                    <w:left w:val="nil"/>
                    <w:bottom w:val="single" w:sz="4" w:space="0" w:color="auto"/>
                    <w:right w:val="single" w:sz="4" w:space="0" w:color="auto"/>
                  </w:tcBorders>
                  <w:shd w:val="clear" w:color="auto" w:fill="auto"/>
                  <w:vAlign w:val="center"/>
                  <w:hideMark/>
                </w:tcPr>
                <w:p w14:paraId="59F711AB" w14:textId="58C5284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is auto</w:t>
                  </w:r>
                  <w:r w:rsidR="008D3404">
                    <w:rPr>
                      <w:rFonts w:ascii="Calibri" w:hAnsi="Calibri" w:cs="Calibri"/>
                      <w:color w:val="000000"/>
                      <w:sz w:val="18"/>
                      <w:szCs w:val="18"/>
                    </w:rPr>
                    <w:t>-</w:t>
                  </w:r>
                  <w:r w:rsidRPr="00772A22">
                    <w:rPr>
                      <w:rFonts w:ascii="Calibri" w:hAnsi="Calibri" w:cs="Calibri"/>
                      <w:color w:val="000000"/>
                      <w:sz w:val="18"/>
                      <w:szCs w:val="18"/>
                    </w:rPr>
                    <w:t>populated as the current date. The Accounting Date must be in an Open Period.</w:t>
                  </w:r>
                </w:p>
              </w:tc>
            </w:tr>
            <w:tr w:rsidR="00772A22" w:rsidRPr="00772A22" w14:paraId="3C937B46" w14:textId="77777777" w:rsidTr="00DA5095">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D086DE"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c.</w:t>
                  </w:r>
                </w:p>
              </w:tc>
              <w:tc>
                <w:tcPr>
                  <w:tcW w:w="1720" w:type="dxa"/>
                  <w:tcBorders>
                    <w:top w:val="nil"/>
                    <w:left w:val="nil"/>
                    <w:bottom w:val="single" w:sz="4" w:space="0" w:color="auto"/>
                    <w:right w:val="single" w:sz="4" w:space="0" w:color="auto"/>
                  </w:tcBorders>
                  <w:shd w:val="clear" w:color="auto" w:fill="auto"/>
                  <w:noWrap/>
                  <w:vAlign w:val="center"/>
                  <w:hideMark/>
                </w:tcPr>
                <w:p w14:paraId="68D2D27B"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*Pay Terms </w:t>
                  </w:r>
                </w:p>
              </w:tc>
              <w:tc>
                <w:tcPr>
                  <w:tcW w:w="7760" w:type="dxa"/>
                  <w:tcBorders>
                    <w:top w:val="nil"/>
                    <w:left w:val="nil"/>
                    <w:bottom w:val="single" w:sz="4" w:space="0" w:color="auto"/>
                    <w:right w:val="single" w:sz="4" w:space="0" w:color="auto"/>
                  </w:tcBorders>
                  <w:shd w:val="clear" w:color="auto" w:fill="auto"/>
                  <w:vAlign w:val="center"/>
                  <w:hideMark/>
                </w:tcPr>
                <w:p w14:paraId="7AE19EBC" w14:textId="311931C0"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is auto</w:t>
                  </w:r>
                  <w:r w:rsidR="008D3404">
                    <w:rPr>
                      <w:rFonts w:ascii="Calibri" w:hAnsi="Calibri" w:cs="Calibri"/>
                      <w:color w:val="000000"/>
                      <w:sz w:val="18"/>
                      <w:szCs w:val="18"/>
                    </w:rPr>
                    <w:t>-</w:t>
                  </w:r>
                  <w:r w:rsidRPr="00772A22">
                    <w:rPr>
                      <w:rFonts w:ascii="Calibri" w:hAnsi="Calibri" w:cs="Calibri"/>
                      <w:color w:val="000000"/>
                      <w:sz w:val="18"/>
                      <w:szCs w:val="18"/>
                    </w:rPr>
                    <w:t xml:space="preserve">populated as ‘00’ or if there is a PO associated to the voucher, the Pay Terms will </w:t>
                  </w:r>
                  <w:r w:rsidR="00775B75">
                    <w:rPr>
                      <w:rFonts w:ascii="Calibri" w:hAnsi="Calibri" w:cs="Calibri"/>
                      <w:color w:val="000000"/>
                      <w:sz w:val="18"/>
                      <w:szCs w:val="18"/>
                    </w:rPr>
                    <w:t>auto-</w:t>
                  </w:r>
                  <w:r w:rsidRPr="00772A22">
                    <w:rPr>
                      <w:rFonts w:ascii="Calibri" w:hAnsi="Calibri" w:cs="Calibri"/>
                      <w:color w:val="000000"/>
                      <w:sz w:val="18"/>
                      <w:szCs w:val="18"/>
                    </w:rPr>
                    <w:t>populate according to how the PO is set up.</w:t>
                  </w:r>
                </w:p>
              </w:tc>
            </w:tr>
            <w:tr w:rsidR="00772A22" w:rsidRPr="00772A22" w14:paraId="0147F884"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ECF258"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d.</w:t>
                  </w:r>
                </w:p>
              </w:tc>
              <w:tc>
                <w:tcPr>
                  <w:tcW w:w="1720" w:type="dxa"/>
                  <w:tcBorders>
                    <w:top w:val="nil"/>
                    <w:left w:val="nil"/>
                    <w:bottom w:val="single" w:sz="4" w:space="0" w:color="auto"/>
                    <w:right w:val="single" w:sz="4" w:space="0" w:color="auto"/>
                  </w:tcBorders>
                  <w:shd w:val="clear" w:color="auto" w:fill="auto"/>
                  <w:noWrap/>
                  <w:vAlign w:val="center"/>
                  <w:hideMark/>
                </w:tcPr>
                <w:p w14:paraId="1D19B924"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*Invoice Date </w:t>
                  </w:r>
                </w:p>
              </w:tc>
              <w:tc>
                <w:tcPr>
                  <w:tcW w:w="7760" w:type="dxa"/>
                  <w:tcBorders>
                    <w:top w:val="nil"/>
                    <w:left w:val="nil"/>
                    <w:bottom w:val="single" w:sz="4" w:space="0" w:color="auto"/>
                    <w:right w:val="single" w:sz="4" w:space="0" w:color="auto"/>
                  </w:tcBorders>
                  <w:shd w:val="clear" w:color="auto" w:fill="auto"/>
                  <w:vAlign w:val="center"/>
                  <w:hideMark/>
                </w:tcPr>
                <w:p w14:paraId="7EE06322" w14:textId="291FAC96"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 xml:space="preserve">This should reflect the actual invoice date on the </w:t>
                  </w:r>
                  <w:r w:rsidR="005518BD">
                    <w:rPr>
                      <w:rFonts w:ascii="Calibri" w:hAnsi="Calibri" w:cs="Calibri"/>
                      <w:color w:val="000000"/>
                      <w:sz w:val="18"/>
                      <w:szCs w:val="18"/>
                    </w:rPr>
                    <w:t xml:space="preserve">invoice from the </w:t>
                  </w:r>
                  <w:r w:rsidRPr="00772A22">
                    <w:rPr>
                      <w:rFonts w:ascii="Calibri" w:hAnsi="Calibri" w:cs="Calibri"/>
                      <w:color w:val="000000"/>
                      <w:sz w:val="18"/>
                      <w:szCs w:val="18"/>
                    </w:rPr>
                    <w:t>Supplier.</w:t>
                  </w:r>
                </w:p>
              </w:tc>
            </w:tr>
            <w:tr w:rsidR="00772A22" w:rsidRPr="00772A22" w14:paraId="005665FB"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15A410"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e.</w:t>
                  </w:r>
                </w:p>
              </w:tc>
              <w:tc>
                <w:tcPr>
                  <w:tcW w:w="1720" w:type="dxa"/>
                  <w:tcBorders>
                    <w:top w:val="nil"/>
                    <w:left w:val="nil"/>
                    <w:bottom w:val="single" w:sz="4" w:space="0" w:color="auto"/>
                    <w:right w:val="single" w:sz="4" w:space="0" w:color="auto"/>
                  </w:tcBorders>
                  <w:shd w:val="clear" w:color="auto" w:fill="auto"/>
                  <w:noWrap/>
                  <w:vAlign w:val="center"/>
                  <w:hideMark/>
                </w:tcPr>
                <w:p w14:paraId="7643D7EC"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Invoice Received </w:t>
                  </w:r>
                </w:p>
              </w:tc>
              <w:tc>
                <w:tcPr>
                  <w:tcW w:w="7760" w:type="dxa"/>
                  <w:tcBorders>
                    <w:top w:val="nil"/>
                    <w:left w:val="nil"/>
                    <w:bottom w:val="single" w:sz="4" w:space="0" w:color="auto"/>
                    <w:right w:val="single" w:sz="4" w:space="0" w:color="auto"/>
                  </w:tcBorders>
                  <w:shd w:val="clear" w:color="auto" w:fill="auto"/>
                  <w:vAlign w:val="center"/>
                  <w:hideMark/>
                </w:tcPr>
                <w:p w14:paraId="23BF636F"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field is not required but can be used for tracking purposes.</w:t>
                  </w:r>
                </w:p>
              </w:tc>
            </w:tr>
            <w:tr w:rsidR="00772A22" w:rsidRPr="00772A22" w14:paraId="0D115844" w14:textId="77777777" w:rsidTr="00DA5095">
              <w:trPr>
                <w:trHeight w:val="7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92FAB2"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f.</w:t>
                  </w:r>
                </w:p>
              </w:tc>
              <w:tc>
                <w:tcPr>
                  <w:tcW w:w="1720" w:type="dxa"/>
                  <w:tcBorders>
                    <w:top w:val="nil"/>
                    <w:left w:val="nil"/>
                    <w:bottom w:val="single" w:sz="4" w:space="0" w:color="auto"/>
                    <w:right w:val="single" w:sz="4" w:space="0" w:color="auto"/>
                  </w:tcBorders>
                  <w:shd w:val="clear" w:color="auto" w:fill="auto"/>
                  <w:noWrap/>
                  <w:vAlign w:val="center"/>
                  <w:hideMark/>
                </w:tcPr>
                <w:p w14:paraId="5AA82E18"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*Supplier Info </w:t>
                  </w:r>
                </w:p>
              </w:tc>
              <w:tc>
                <w:tcPr>
                  <w:tcW w:w="7760" w:type="dxa"/>
                  <w:tcBorders>
                    <w:top w:val="nil"/>
                    <w:left w:val="nil"/>
                    <w:bottom w:val="single" w:sz="4" w:space="0" w:color="auto"/>
                    <w:right w:val="single" w:sz="4" w:space="0" w:color="auto"/>
                  </w:tcBorders>
                  <w:shd w:val="clear" w:color="auto" w:fill="auto"/>
                  <w:vAlign w:val="center"/>
                  <w:hideMark/>
                </w:tcPr>
                <w:p w14:paraId="00FD361B" w14:textId="34452E7C"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 xml:space="preserve">Entering the </w:t>
                  </w:r>
                  <w:r w:rsidR="007938E0">
                    <w:rPr>
                      <w:rFonts w:ascii="Calibri" w:hAnsi="Calibri" w:cs="Calibri"/>
                      <w:color w:val="000000"/>
                      <w:sz w:val="18"/>
                      <w:szCs w:val="18"/>
                    </w:rPr>
                    <w:t>S</w:t>
                  </w:r>
                  <w:r w:rsidRPr="00772A22">
                    <w:rPr>
                      <w:rFonts w:ascii="Calibri" w:hAnsi="Calibri" w:cs="Calibri"/>
                      <w:color w:val="000000"/>
                      <w:sz w:val="18"/>
                      <w:szCs w:val="18"/>
                    </w:rPr>
                    <w:t>upplier ID will cause the other fields in this section to auto</w:t>
                  </w:r>
                  <w:r w:rsidR="008D3404">
                    <w:rPr>
                      <w:rFonts w:ascii="Calibri" w:hAnsi="Calibri" w:cs="Calibri"/>
                      <w:color w:val="000000"/>
                      <w:sz w:val="18"/>
                      <w:szCs w:val="18"/>
                    </w:rPr>
                    <w:t>-</w:t>
                  </w:r>
                  <w:r w:rsidRPr="00772A22">
                    <w:rPr>
                      <w:rFonts w:ascii="Calibri" w:hAnsi="Calibri" w:cs="Calibri"/>
                      <w:color w:val="000000"/>
                      <w:sz w:val="18"/>
                      <w:szCs w:val="18"/>
                    </w:rPr>
                    <w:t xml:space="preserve">populate. The </w:t>
                  </w:r>
                  <w:r w:rsidR="007938E0">
                    <w:rPr>
                      <w:rFonts w:ascii="Calibri" w:hAnsi="Calibri" w:cs="Calibri"/>
                      <w:color w:val="000000"/>
                      <w:sz w:val="18"/>
                      <w:szCs w:val="18"/>
                    </w:rPr>
                    <w:t>L</w:t>
                  </w:r>
                  <w:r w:rsidRPr="00772A22">
                    <w:rPr>
                      <w:rFonts w:ascii="Calibri" w:hAnsi="Calibri" w:cs="Calibri"/>
                      <w:color w:val="000000"/>
                      <w:sz w:val="18"/>
                      <w:szCs w:val="18"/>
                    </w:rPr>
                    <w:t xml:space="preserve">ocation and </w:t>
                  </w:r>
                  <w:r w:rsidR="007938E0">
                    <w:rPr>
                      <w:rFonts w:ascii="Calibri" w:hAnsi="Calibri" w:cs="Calibri"/>
                      <w:color w:val="000000"/>
                      <w:sz w:val="18"/>
                      <w:szCs w:val="18"/>
                    </w:rPr>
                    <w:t>A</w:t>
                  </w:r>
                  <w:r w:rsidRPr="00772A22">
                    <w:rPr>
                      <w:rFonts w:ascii="Calibri" w:hAnsi="Calibri" w:cs="Calibri"/>
                      <w:color w:val="000000"/>
                      <w:sz w:val="18"/>
                      <w:szCs w:val="18"/>
                    </w:rPr>
                    <w:t xml:space="preserve">ddress </w:t>
                  </w:r>
                  <w:r w:rsidR="003E5B68">
                    <w:rPr>
                      <w:rFonts w:ascii="Calibri" w:hAnsi="Calibri" w:cs="Calibri"/>
                      <w:color w:val="000000"/>
                      <w:sz w:val="18"/>
                      <w:szCs w:val="18"/>
                    </w:rPr>
                    <w:t>auto-</w:t>
                  </w:r>
                  <w:r w:rsidRPr="00772A22">
                    <w:rPr>
                      <w:rFonts w:ascii="Calibri" w:hAnsi="Calibri" w:cs="Calibri"/>
                      <w:color w:val="000000"/>
                      <w:sz w:val="18"/>
                      <w:szCs w:val="18"/>
                    </w:rPr>
                    <w:t>populate according to what is set up as the default in the supplier record but can be modified on the voucher as needed.</w:t>
                  </w:r>
                </w:p>
              </w:tc>
            </w:tr>
            <w:tr w:rsidR="00772A22" w:rsidRPr="00772A22" w14:paraId="22E13C0B"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30B6ED" w14:textId="38BCC467" w:rsidR="00772A22" w:rsidRPr="00772A22" w:rsidRDefault="00883EE6" w:rsidP="00772A22">
                  <w:pPr>
                    <w:rPr>
                      <w:rFonts w:ascii="Calibri" w:hAnsi="Calibri" w:cs="Calibri"/>
                      <w:b/>
                      <w:bCs/>
                      <w:color w:val="FF0000"/>
                      <w:sz w:val="28"/>
                      <w:szCs w:val="28"/>
                    </w:rPr>
                  </w:pPr>
                  <w:r>
                    <w:rPr>
                      <w:rFonts w:ascii="Calibri" w:hAnsi="Calibri" w:cs="Calibri"/>
                      <w:b/>
                      <w:bCs/>
                      <w:color w:val="FF0000"/>
                      <w:sz w:val="28"/>
                      <w:szCs w:val="28"/>
                    </w:rPr>
                    <w:t>g</w:t>
                  </w:r>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35E67545"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*Total </w:t>
                  </w:r>
                </w:p>
              </w:tc>
              <w:tc>
                <w:tcPr>
                  <w:tcW w:w="7760" w:type="dxa"/>
                  <w:tcBorders>
                    <w:top w:val="nil"/>
                    <w:left w:val="nil"/>
                    <w:bottom w:val="single" w:sz="4" w:space="0" w:color="auto"/>
                    <w:right w:val="single" w:sz="4" w:space="0" w:color="auto"/>
                  </w:tcBorders>
                  <w:shd w:val="clear" w:color="auto" w:fill="auto"/>
                  <w:vAlign w:val="center"/>
                  <w:hideMark/>
                </w:tcPr>
                <w:p w14:paraId="652DA35E"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is the total amount of the voucher and should match the Line Total.</w:t>
                  </w:r>
                </w:p>
              </w:tc>
            </w:tr>
            <w:tr w:rsidR="00772A22" w:rsidRPr="00772A22" w14:paraId="0D8154F1"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C9453E" w14:textId="3CC76761" w:rsidR="00772A22" w:rsidRPr="00772A22" w:rsidRDefault="00883EE6" w:rsidP="00772A22">
                  <w:pPr>
                    <w:rPr>
                      <w:rFonts w:ascii="Calibri" w:hAnsi="Calibri" w:cs="Calibri"/>
                      <w:b/>
                      <w:bCs/>
                      <w:color w:val="FF0000"/>
                      <w:sz w:val="28"/>
                      <w:szCs w:val="28"/>
                    </w:rPr>
                  </w:pPr>
                  <w:r>
                    <w:rPr>
                      <w:rFonts w:ascii="Calibri" w:hAnsi="Calibri" w:cs="Calibri"/>
                      <w:b/>
                      <w:bCs/>
                      <w:color w:val="FF0000"/>
                      <w:sz w:val="28"/>
                      <w:szCs w:val="28"/>
                    </w:rPr>
                    <w:t>h</w:t>
                  </w:r>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05722DCC"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Comments</w:t>
                  </w:r>
                </w:p>
              </w:tc>
              <w:tc>
                <w:tcPr>
                  <w:tcW w:w="7760" w:type="dxa"/>
                  <w:tcBorders>
                    <w:top w:val="nil"/>
                    <w:left w:val="nil"/>
                    <w:bottom w:val="single" w:sz="4" w:space="0" w:color="auto"/>
                    <w:right w:val="single" w:sz="4" w:space="0" w:color="auto"/>
                  </w:tcBorders>
                  <w:shd w:val="clear" w:color="auto" w:fill="auto"/>
                  <w:vAlign w:val="center"/>
                  <w:hideMark/>
                </w:tcPr>
                <w:p w14:paraId="0853AF86" w14:textId="4E3B259D"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hyperlink allows the user to add comments about the voucher</w:t>
                  </w:r>
                  <w:r w:rsidR="004E0864">
                    <w:rPr>
                      <w:rFonts w:ascii="Calibri" w:hAnsi="Calibri" w:cs="Calibri"/>
                      <w:color w:val="000000"/>
                      <w:sz w:val="18"/>
                      <w:szCs w:val="18"/>
                    </w:rPr>
                    <w:t xml:space="preserve"> for</w:t>
                  </w:r>
                  <w:r w:rsidR="0067019E">
                    <w:rPr>
                      <w:rFonts w:ascii="Calibri" w:hAnsi="Calibri" w:cs="Calibri"/>
                      <w:color w:val="000000"/>
                      <w:sz w:val="18"/>
                      <w:szCs w:val="18"/>
                    </w:rPr>
                    <w:t xml:space="preserve"> internal </w:t>
                  </w:r>
                  <w:r w:rsidR="00AD6A7E">
                    <w:rPr>
                      <w:rFonts w:ascii="Calibri" w:hAnsi="Calibri" w:cs="Calibri"/>
                      <w:color w:val="000000"/>
                      <w:sz w:val="18"/>
                      <w:szCs w:val="18"/>
                    </w:rPr>
                    <w:t>purposes</w:t>
                  </w:r>
                  <w:r w:rsidR="0067019E">
                    <w:rPr>
                      <w:rFonts w:ascii="Calibri" w:hAnsi="Calibri" w:cs="Calibri"/>
                      <w:color w:val="000000"/>
                      <w:sz w:val="18"/>
                      <w:szCs w:val="18"/>
                    </w:rPr>
                    <w:t>.</w:t>
                  </w:r>
                </w:p>
              </w:tc>
            </w:tr>
            <w:tr w:rsidR="00772A22" w:rsidRPr="00772A22" w14:paraId="4576FECD" w14:textId="77777777" w:rsidTr="00DA5095">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A449F0" w14:textId="48D5C469" w:rsidR="00772A22" w:rsidRPr="00772A22" w:rsidRDefault="00883EE6" w:rsidP="00772A22">
                  <w:pPr>
                    <w:rPr>
                      <w:rFonts w:ascii="Calibri" w:hAnsi="Calibri" w:cs="Calibri"/>
                      <w:b/>
                      <w:bCs/>
                      <w:color w:val="FF0000"/>
                      <w:sz w:val="28"/>
                      <w:szCs w:val="28"/>
                    </w:rPr>
                  </w:pPr>
                  <w:proofErr w:type="spellStart"/>
                  <w:r>
                    <w:rPr>
                      <w:rFonts w:ascii="Calibri" w:hAnsi="Calibri" w:cs="Calibri"/>
                      <w:b/>
                      <w:bCs/>
                      <w:color w:val="FF0000"/>
                      <w:sz w:val="28"/>
                      <w:szCs w:val="28"/>
                    </w:rPr>
                    <w:t>i</w:t>
                  </w:r>
                  <w:proofErr w:type="spellEnd"/>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7AB5525A"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Attachments</w:t>
                  </w:r>
                </w:p>
              </w:tc>
              <w:tc>
                <w:tcPr>
                  <w:tcW w:w="7760" w:type="dxa"/>
                  <w:tcBorders>
                    <w:top w:val="nil"/>
                    <w:left w:val="nil"/>
                    <w:bottom w:val="single" w:sz="4" w:space="0" w:color="auto"/>
                    <w:right w:val="single" w:sz="4" w:space="0" w:color="auto"/>
                  </w:tcBorders>
                  <w:shd w:val="clear" w:color="auto" w:fill="auto"/>
                  <w:vAlign w:val="center"/>
                  <w:hideMark/>
                </w:tcPr>
                <w:p w14:paraId="1925428E"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hyperlink allows the user to attach documents to the voucher such as invoices or receipts. The size limit is 1 MB per attachment.</w:t>
                  </w:r>
                </w:p>
              </w:tc>
            </w:tr>
            <w:tr w:rsidR="00772A22" w:rsidRPr="00772A22" w14:paraId="3AB93A32" w14:textId="77777777" w:rsidTr="00DA5095">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19E7AD" w14:textId="4BDCD79F" w:rsidR="00772A22" w:rsidRPr="00772A22" w:rsidRDefault="00883EE6" w:rsidP="00772A22">
                  <w:pPr>
                    <w:rPr>
                      <w:rFonts w:ascii="Calibri" w:hAnsi="Calibri" w:cs="Calibri"/>
                      <w:b/>
                      <w:bCs/>
                      <w:color w:val="FF0000"/>
                      <w:sz w:val="28"/>
                      <w:szCs w:val="28"/>
                    </w:rPr>
                  </w:pPr>
                  <w:r>
                    <w:rPr>
                      <w:rFonts w:ascii="Calibri" w:hAnsi="Calibri" w:cs="Calibri"/>
                      <w:b/>
                      <w:bCs/>
                      <w:color w:val="FF0000"/>
                      <w:sz w:val="28"/>
                      <w:szCs w:val="28"/>
                    </w:rPr>
                    <w:t>j</w:t>
                  </w:r>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59D98C39"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Withholding</w:t>
                  </w:r>
                </w:p>
              </w:tc>
              <w:tc>
                <w:tcPr>
                  <w:tcW w:w="7760" w:type="dxa"/>
                  <w:tcBorders>
                    <w:top w:val="nil"/>
                    <w:left w:val="nil"/>
                    <w:bottom w:val="single" w:sz="4" w:space="0" w:color="auto"/>
                    <w:right w:val="single" w:sz="4" w:space="0" w:color="auto"/>
                  </w:tcBorders>
                  <w:shd w:val="clear" w:color="auto" w:fill="auto"/>
                  <w:vAlign w:val="center"/>
                  <w:hideMark/>
                </w:tcPr>
                <w:p w14:paraId="09E53F47" w14:textId="3ED642DA"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 xml:space="preserve">This </w:t>
                  </w:r>
                  <w:r w:rsidR="002E7945">
                    <w:rPr>
                      <w:rFonts w:ascii="Calibri" w:hAnsi="Calibri" w:cs="Calibri"/>
                      <w:color w:val="000000"/>
                      <w:sz w:val="18"/>
                      <w:szCs w:val="18"/>
                    </w:rPr>
                    <w:t>hyper</w:t>
                  </w:r>
                  <w:r w:rsidRPr="00772A22">
                    <w:rPr>
                      <w:rFonts w:ascii="Calibri" w:hAnsi="Calibri" w:cs="Calibri"/>
                      <w:color w:val="000000"/>
                      <w:sz w:val="18"/>
                      <w:szCs w:val="18"/>
                    </w:rPr>
                    <w:t xml:space="preserve">link allows the user to update the withholding information for the voucher. This </w:t>
                  </w:r>
                  <w:r w:rsidR="00B4134B">
                    <w:rPr>
                      <w:rFonts w:ascii="Calibri" w:hAnsi="Calibri" w:cs="Calibri"/>
                      <w:color w:val="000000"/>
                      <w:sz w:val="18"/>
                      <w:szCs w:val="18"/>
                    </w:rPr>
                    <w:t>hyper</w:t>
                  </w:r>
                  <w:r w:rsidRPr="00772A22">
                    <w:rPr>
                      <w:rFonts w:ascii="Calibri" w:hAnsi="Calibri" w:cs="Calibri"/>
                      <w:color w:val="000000"/>
                      <w:sz w:val="18"/>
                      <w:szCs w:val="18"/>
                    </w:rPr>
                    <w:t xml:space="preserve">link will only be visible on vouchers that have a supplier which is set up </w:t>
                  </w:r>
                  <w:r w:rsidR="000360BC">
                    <w:rPr>
                      <w:rFonts w:ascii="Calibri" w:hAnsi="Calibri" w:cs="Calibri"/>
                      <w:color w:val="000000"/>
                      <w:sz w:val="18"/>
                      <w:szCs w:val="18"/>
                    </w:rPr>
                    <w:t>for</w:t>
                  </w:r>
                  <w:r w:rsidRPr="00772A22">
                    <w:rPr>
                      <w:rFonts w:ascii="Calibri" w:hAnsi="Calibri" w:cs="Calibri"/>
                      <w:color w:val="000000"/>
                      <w:sz w:val="18"/>
                      <w:szCs w:val="18"/>
                    </w:rPr>
                    <w:t xml:space="preserve"> withholding.</w:t>
                  </w:r>
                </w:p>
              </w:tc>
            </w:tr>
          </w:tbl>
          <w:p w14:paraId="6343A298" w14:textId="77777777" w:rsidR="00A700FC" w:rsidRDefault="00A700FC" w:rsidP="007A54F1">
            <w:pPr>
              <w:rPr>
                <w:rFonts w:asciiTheme="minorHAnsi" w:hAnsiTheme="minorHAnsi" w:cs="Arial"/>
                <w:noProof/>
                <w:color w:val="000000"/>
                <w:sz w:val="22"/>
                <w:szCs w:val="22"/>
              </w:rPr>
            </w:pPr>
          </w:p>
          <w:p w14:paraId="1E8EF8AB" w14:textId="09053209" w:rsidR="009876A0" w:rsidRDefault="009876A0" w:rsidP="007A54F1">
            <w:pPr>
              <w:rPr>
                <w:rFonts w:asciiTheme="minorHAnsi" w:hAnsiTheme="minorHAnsi" w:cs="Arial"/>
                <w:noProof/>
                <w:color w:val="000000"/>
                <w:sz w:val="22"/>
                <w:szCs w:val="22"/>
              </w:rPr>
            </w:pPr>
            <w:r>
              <w:rPr>
                <w:rFonts w:asciiTheme="minorHAnsi" w:hAnsiTheme="minorHAnsi" w:cs="Arial"/>
                <w:noProof/>
                <w:color w:val="000000"/>
                <w:sz w:val="22"/>
                <w:szCs w:val="22"/>
              </w:rPr>
              <w:t>Populate the fields in the Invoice Line</w:t>
            </w:r>
            <w:r w:rsidR="0040035C">
              <w:rPr>
                <w:rFonts w:asciiTheme="minorHAnsi" w:hAnsiTheme="minorHAnsi" w:cs="Arial"/>
                <w:noProof/>
                <w:color w:val="000000"/>
                <w:sz w:val="22"/>
                <w:szCs w:val="22"/>
              </w:rPr>
              <w:t>s</w:t>
            </w:r>
            <w:r>
              <w:rPr>
                <w:rFonts w:asciiTheme="minorHAnsi" w:hAnsiTheme="minorHAnsi" w:cs="Arial"/>
                <w:noProof/>
                <w:color w:val="000000"/>
                <w:sz w:val="22"/>
                <w:szCs w:val="22"/>
              </w:rPr>
              <w:t xml:space="preserve"> section of the Invoice Information tab. </w:t>
            </w:r>
            <w:r w:rsidR="008240C1">
              <w:rPr>
                <w:rFonts w:asciiTheme="minorHAnsi" w:hAnsiTheme="minorHAnsi"/>
                <w:noProof/>
                <w:sz w:val="22"/>
                <w:szCs w:val="22"/>
              </w:rPr>
              <w:t>Required fields include:  Line Amount, Merchandise Amount, Dept, Fund, Bud Unit, Program, &amp; Account.</w:t>
            </w:r>
          </w:p>
          <w:p w14:paraId="4090ACBB" w14:textId="627DA714" w:rsidR="00B21163" w:rsidRPr="00995A6F" w:rsidRDefault="0002623B" w:rsidP="00995A6F">
            <w:pPr>
              <w:jc w:val="center"/>
              <w:rPr>
                <w:rFonts w:asciiTheme="minorHAnsi" w:hAnsiTheme="minorHAnsi" w:cs="Arial"/>
                <w:noProof/>
                <w:color w:val="000000"/>
                <w:sz w:val="22"/>
                <w:szCs w:val="22"/>
              </w:rPr>
            </w:pPr>
            <w:r>
              <w:rPr>
                <w:noProof/>
              </w:rPr>
              <w:drawing>
                <wp:inline distT="0" distB="0" distL="0" distR="0" wp14:anchorId="5D1B370D" wp14:editId="63668563">
                  <wp:extent cx="6402894" cy="2385392"/>
                  <wp:effectExtent l="0" t="0" r="0" b="0"/>
                  <wp:docPr id="7" name="Picture 7" descr="C:\Users\RHEITM~1\AppData\Local\Temp\SNAGHTML441fc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HEITM~1\AppData\Local\Temp\SNAGHTML441fc8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7714" cy="2428168"/>
                          </a:xfrm>
                          <a:prstGeom prst="rect">
                            <a:avLst/>
                          </a:prstGeom>
                          <a:noFill/>
                          <a:ln>
                            <a:noFill/>
                          </a:ln>
                        </pic:spPr>
                      </pic:pic>
                    </a:graphicData>
                  </a:graphic>
                </wp:inline>
              </w:drawing>
            </w:r>
          </w:p>
        </w:tc>
      </w:tr>
    </w:tbl>
    <w:p w14:paraId="1266DE4D" w14:textId="77777777" w:rsidR="00335046" w:rsidRDefault="00335046">
      <w:r>
        <w:br w:type="page"/>
      </w:r>
    </w:p>
    <w:tbl>
      <w:tblPr>
        <w:tblW w:w="1056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6"/>
      </w:tblGrid>
      <w:tr w:rsidR="00B54F0B" w:rsidRPr="009063D6" w14:paraId="4517B336" w14:textId="77777777" w:rsidTr="00335046">
        <w:trPr>
          <w:trHeight w:val="13837"/>
        </w:trPr>
        <w:tc>
          <w:tcPr>
            <w:tcW w:w="10566" w:type="dxa"/>
          </w:tcPr>
          <w:p w14:paraId="0CF46B54" w14:textId="133925AB" w:rsidR="00B54F0B" w:rsidRDefault="00B54F0B" w:rsidP="007A54F1">
            <w:pPr>
              <w:rPr>
                <w:rFonts w:asciiTheme="minorHAnsi" w:hAnsiTheme="minorHAnsi" w:cs="Arial"/>
                <w:b/>
                <w:noProof/>
                <w:color w:val="000000"/>
                <w:sz w:val="22"/>
                <w:szCs w:val="22"/>
              </w:rPr>
            </w:pPr>
            <w:r>
              <w:rPr>
                <w:rFonts w:ascii="Arial" w:hAnsi="Arial" w:cs="Arial"/>
                <w:b/>
                <w:noProof/>
              </w:rPr>
              <w:lastRenderedPageBreak/>
              <w:t xml:space="preserve">3. </w:t>
            </w:r>
            <w:r>
              <w:rPr>
                <w:rFonts w:asciiTheme="minorHAnsi" w:hAnsiTheme="minorHAnsi" w:cs="Arial"/>
                <w:b/>
                <w:noProof/>
                <w:color w:val="000000"/>
                <w:sz w:val="22"/>
                <w:szCs w:val="22"/>
              </w:rPr>
              <w:t>Populate the</w:t>
            </w:r>
            <w:r w:rsidR="00EE42CD">
              <w:rPr>
                <w:rFonts w:asciiTheme="minorHAnsi" w:hAnsiTheme="minorHAnsi" w:cs="Arial"/>
                <w:b/>
                <w:noProof/>
                <w:color w:val="000000"/>
                <w:sz w:val="22"/>
                <w:szCs w:val="22"/>
              </w:rPr>
              <w:t xml:space="preserve"> fields in the</w:t>
            </w:r>
            <w:r>
              <w:rPr>
                <w:rFonts w:asciiTheme="minorHAnsi" w:hAnsiTheme="minorHAnsi" w:cs="Arial"/>
                <w:b/>
                <w:noProof/>
                <w:color w:val="000000"/>
                <w:sz w:val="22"/>
                <w:szCs w:val="22"/>
              </w:rPr>
              <w:t xml:space="preserve"> Payments tab of the voucher</w:t>
            </w:r>
          </w:p>
          <w:p w14:paraId="79395B37" w14:textId="45BFFDB1" w:rsidR="00B54F0B" w:rsidRDefault="00215EF1" w:rsidP="007A54F1">
            <w:pPr>
              <w:rPr>
                <w:rFonts w:asciiTheme="minorHAnsi" w:hAnsiTheme="minorHAnsi" w:cs="Arial"/>
                <w:noProof/>
                <w:color w:val="000000"/>
                <w:sz w:val="22"/>
                <w:szCs w:val="22"/>
              </w:rPr>
            </w:pPr>
            <w:r>
              <w:rPr>
                <w:rFonts w:asciiTheme="minorHAnsi" w:hAnsiTheme="minorHAnsi" w:cs="Arial"/>
                <w:noProof/>
                <w:color w:val="000000"/>
                <w:sz w:val="22"/>
                <w:szCs w:val="22"/>
              </w:rPr>
              <w:t xml:space="preserve">There are several fields on the Payments tab that need to be </w:t>
            </w:r>
            <w:r w:rsidR="00D169C5">
              <w:rPr>
                <w:rFonts w:asciiTheme="minorHAnsi" w:hAnsiTheme="minorHAnsi" w:cs="Arial"/>
                <w:noProof/>
                <w:color w:val="000000"/>
                <w:sz w:val="22"/>
                <w:szCs w:val="22"/>
              </w:rPr>
              <w:t>completed before Saving the voucher.</w:t>
            </w:r>
          </w:p>
          <w:p w14:paraId="1538613B" w14:textId="10DDD640" w:rsidR="005202D2" w:rsidRDefault="009800A6" w:rsidP="00240C9E">
            <w:pPr>
              <w:jc w:val="center"/>
              <w:rPr>
                <w:rFonts w:asciiTheme="minorHAnsi" w:hAnsiTheme="minorHAnsi" w:cs="Arial"/>
                <w:noProof/>
                <w:color w:val="000000"/>
                <w:sz w:val="22"/>
                <w:szCs w:val="22"/>
              </w:rPr>
            </w:pPr>
            <w:r>
              <w:rPr>
                <w:noProof/>
              </w:rPr>
              <w:drawing>
                <wp:inline distT="0" distB="0" distL="0" distR="0" wp14:anchorId="29710415" wp14:editId="54453510">
                  <wp:extent cx="6391747" cy="3009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409" cy="3013979"/>
                          </a:xfrm>
                          <a:prstGeom prst="rect">
                            <a:avLst/>
                          </a:prstGeom>
                        </pic:spPr>
                      </pic:pic>
                    </a:graphicData>
                  </a:graphic>
                </wp:inline>
              </w:drawing>
            </w:r>
          </w:p>
          <w:p w14:paraId="5D2988F4" w14:textId="041F6289" w:rsidR="005202D2" w:rsidRPr="00482866" w:rsidRDefault="005202D2" w:rsidP="005202D2">
            <w:pPr>
              <w:rPr>
                <w:rFonts w:asciiTheme="minorHAnsi" w:hAnsiTheme="minorHAnsi" w:cs="Arial"/>
                <w:noProof/>
                <w:color w:val="000000"/>
                <w:sz w:val="20"/>
                <w:szCs w:val="20"/>
              </w:rPr>
            </w:pPr>
            <w:r w:rsidRPr="00482866">
              <w:rPr>
                <w:rFonts w:asciiTheme="minorHAnsi" w:hAnsiTheme="minorHAnsi" w:cs="Arial"/>
                <w:noProof/>
                <w:color w:val="000000"/>
                <w:sz w:val="20"/>
                <w:szCs w:val="20"/>
              </w:rPr>
              <w:t>Those with asterisks are required fields</w:t>
            </w:r>
            <w:r w:rsidR="003B0495">
              <w:rPr>
                <w:rFonts w:asciiTheme="minorHAnsi" w:hAnsiTheme="minorHAnsi" w:cs="Arial"/>
                <w:noProof/>
                <w:color w:val="000000"/>
                <w:sz w:val="20"/>
                <w:szCs w:val="20"/>
              </w:rPr>
              <w:t>.</w:t>
            </w:r>
          </w:p>
          <w:tbl>
            <w:tblPr>
              <w:tblW w:w="10308" w:type="dxa"/>
              <w:jc w:val="center"/>
              <w:tblLayout w:type="fixed"/>
              <w:tblLook w:val="04A0" w:firstRow="1" w:lastRow="0" w:firstColumn="1" w:lastColumn="0" w:noHBand="0" w:noVBand="1"/>
            </w:tblPr>
            <w:tblGrid>
              <w:gridCol w:w="585"/>
              <w:gridCol w:w="1903"/>
              <w:gridCol w:w="7820"/>
            </w:tblGrid>
            <w:tr w:rsidR="005B6E35" w:rsidRPr="005B6E35" w14:paraId="4790CF91" w14:textId="77777777" w:rsidTr="00335046">
              <w:trPr>
                <w:trHeight w:val="376"/>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0AF9B" w14:textId="77777777" w:rsidR="005B6E35" w:rsidRPr="005B6E35" w:rsidRDefault="005B6E35" w:rsidP="005B6E35">
                  <w:pPr>
                    <w:rPr>
                      <w:rFonts w:ascii="Calibri" w:hAnsi="Calibri" w:cs="Calibri"/>
                      <w:b/>
                      <w:bCs/>
                      <w:color w:val="000000"/>
                      <w:sz w:val="28"/>
                      <w:szCs w:val="28"/>
                    </w:rPr>
                  </w:pPr>
                  <w:r w:rsidRPr="005B6E35">
                    <w:rPr>
                      <w:rFonts w:ascii="Calibri" w:hAnsi="Calibri" w:cs="Calibri"/>
                      <w:b/>
                      <w:bCs/>
                      <w:color w:val="000000"/>
                      <w:sz w:val="28"/>
                      <w:szCs w:val="28"/>
                    </w:rPr>
                    <w:t> </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14:paraId="5A7DA5DF" w14:textId="77777777" w:rsidR="005B6E35" w:rsidRPr="005B6E35" w:rsidRDefault="005B6E35" w:rsidP="005B6E35">
                  <w:pPr>
                    <w:rPr>
                      <w:rFonts w:ascii="Calibri" w:hAnsi="Calibri" w:cs="Calibri"/>
                      <w:b/>
                      <w:bCs/>
                      <w:color w:val="000000"/>
                      <w:sz w:val="22"/>
                      <w:szCs w:val="22"/>
                    </w:rPr>
                  </w:pPr>
                  <w:r w:rsidRPr="005B6E35">
                    <w:rPr>
                      <w:rFonts w:ascii="Calibri" w:hAnsi="Calibri" w:cs="Calibri"/>
                      <w:b/>
                      <w:bCs/>
                      <w:color w:val="000000"/>
                      <w:sz w:val="22"/>
                      <w:szCs w:val="22"/>
                    </w:rPr>
                    <w:t>Field</w:t>
                  </w:r>
                </w:p>
              </w:tc>
              <w:tc>
                <w:tcPr>
                  <w:tcW w:w="7820" w:type="dxa"/>
                  <w:tcBorders>
                    <w:top w:val="single" w:sz="4" w:space="0" w:color="auto"/>
                    <w:left w:val="nil"/>
                    <w:bottom w:val="single" w:sz="4" w:space="0" w:color="auto"/>
                    <w:right w:val="single" w:sz="4" w:space="0" w:color="auto"/>
                  </w:tcBorders>
                  <w:shd w:val="clear" w:color="auto" w:fill="auto"/>
                  <w:vAlign w:val="bottom"/>
                  <w:hideMark/>
                </w:tcPr>
                <w:p w14:paraId="215150AD" w14:textId="77777777" w:rsidR="005B6E35" w:rsidRPr="005B6E35" w:rsidRDefault="005B6E35" w:rsidP="005B6E35">
                  <w:pPr>
                    <w:rPr>
                      <w:rFonts w:ascii="Calibri" w:hAnsi="Calibri" w:cs="Calibri"/>
                      <w:b/>
                      <w:bCs/>
                      <w:color w:val="000000"/>
                      <w:sz w:val="22"/>
                      <w:szCs w:val="22"/>
                    </w:rPr>
                  </w:pPr>
                  <w:r w:rsidRPr="005B6E35">
                    <w:rPr>
                      <w:rFonts w:ascii="Calibri" w:hAnsi="Calibri" w:cs="Calibri"/>
                      <w:b/>
                      <w:bCs/>
                      <w:color w:val="000000"/>
                      <w:sz w:val="22"/>
                      <w:szCs w:val="22"/>
                    </w:rPr>
                    <w:t>Description</w:t>
                  </w:r>
                </w:p>
              </w:tc>
            </w:tr>
            <w:tr w:rsidR="005B6E35" w:rsidRPr="005B6E35" w14:paraId="0C447856" w14:textId="77777777" w:rsidTr="00335046">
              <w:trPr>
                <w:trHeight w:val="722"/>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977DBE6"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a.</w:t>
                  </w:r>
                </w:p>
              </w:tc>
              <w:tc>
                <w:tcPr>
                  <w:tcW w:w="1903" w:type="dxa"/>
                  <w:tcBorders>
                    <w:top w:val="nil"/>
                    <w:left w:val="nil"/>
                    <w:bottom w:val="single" w:sz="4" w:space="0" w:color="auto"/>
                    <w:right w:val="single" w:sz="4" w:space="0" w:color="auto"/>
                  </w:tcBorders>
                  <w:shd w:val="clear" w:color="auto" w:fill="auto"/>
                  <w:noWrap/>
                  <w:vAlign w:val="center"/>
                  <w:hideMark/>
                </w:tcPr>
                <w:p w14:paraId="263BC173"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 xml:space="preserve">*Remit to </w:t>
                  </w:r>
                </w:p>
              </w:tc>
              <w:tc>
                <w:tcPr>
                  <w:tcW w:w="7820" w:type="dxa"/>
                  <w:tcBorders>
                    <w:top w:val="nil"/>
                    <w:left w:val="nil"/>
                    <w:bottom w:val="single" w:sz="4" w:space="0" w:color="auto"/>
                    <w:right w:val="single" w:sz="4" w:space="0" w:color="auto"/>
                  </w:tcBorders>
                  <w:shd w:val="clear" w:color="auto" w:fill="auto"/>
                  <w:vAlign w:val="center"/>
                  <w:hideMark/>
                </w:tcPr>
                <w:p w14:paraId="5D7929C6" w14:textId="3D6E4B69"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The </w:t>
                  </w:r>
                  <w:r w:rsidR="00CB5762">
                    <w:rPr>
                      <w:rFonts w:ascii="Calibri" w:hAnsi="Calibri" w:cs="Calibri"/>
                      <w:color w:val="000000"/>
                      <w:sz w:val="18"/>
                      <w:szCs w:val="18"/>
                    </w:rPr>
                    <w:t>S</w:t>
                  </w:r>
                  <w:r w:rsidRPr="005B6E35">
                    <w:rPr>
                      <w:rFonts w:ascii="Calibri" w:hAnsi="Calibri" w:cs="Calibri"/>
                      <w:color w:val="000000"/>
                      <w:sz w:val="18"/>
                      <w:szCs w:val="18"/>
                    </w:rPr>
                    <w:t xml:space="preserve">upplier ID in this field should match that which is on the Invoice Information tab. If there are Alternate Names, </w:t>
                  </w:r>
                  <w:r w:rsidR="00CB018D">
                    <w:rPr>
                      <w:rFonts w:ascii="Calibri" w:hAnsi="Calibri" w:cs="Calibri"/>
                      <w:color w:val="000000"/>
                      <w:sz w:val="18"/>
                      <w:szCs w:val="18"/>
                    </w:rPr>
                    <w:t>a</w:t>
                  </w:r>
                  <w:r w:rsidRPr="005B6E35">
                    <w:rPr>
                      <w:rFonts w:ascii="Calibri" w:hAnsi="Calibri" w:cs="Calibri"/>
                      <w:color w:val="000000"/>
                      <w:sz w:val="18"/>
                      <w:szCs w:val="18"/>
                    </w:rPr>
                    <w:t xml:space="preserve"> check</w:t>
                  </w:r>
                  <w:r w:rsidR="00CB018D">
                    <w:rPr>
                      <w:rFonts w:ascii="Calibri" w:hAnsi="Calibri" w:cs="Calibri"/>
                      <w:color w:val="000000"/>
                      <w:sz w:val="18"/>
                      <w:szCs w:val="18"/>
                    </w:rPr>
                    <w:t xml:space="preserve"> payment</w:t>
                  </w:r>
                  <w:r w:rsidRPr="005B6E35">
                    <w:rPr>
                      <w:rFonts w:ascii="Calibri" w:hAnsi="Calibri" w:cs="Calibri"/>
                      <w:color w:val="000000"/>
                      <w:sz w:val="18"/>
                      <w:szCs w:val="18"/>
                    </w:rPr>
                    <w:t xml:space="preserve"> will be made out to </w:t>
                  </w:r>
                  <w:r w:rsidR="00EE5FCC">
                    <w:rPr>
                      <w:rFonts w:ascii="Calibri" w:hAnsi="Calibri" w:cs="Calibri"/>
                      <w:color w:val="000000"/>
                      <w:sz w:val="18"/>
                      <w:szCs w:val="18"/>
                    </w:rPr>
                    <w:t>the Alternate Name(s)</w:t>
                  </w:r>
                  <w:r w:rsidRPr="005B6E35">
                    <w:rPr>
                      <w:rFonts w:ascii="Calibri" w:hAnsi="Calibri" w:cs="Calibri"/>
                      <w:color w:val="000000"/>
                      <w:sz w:val="18"/>
                      <w:szCs w:val="18"/>
                    </w:rPr>
                    <w:t xml:space="preserve">. Alternate </w:t>
                  </w:r>
                  <w:r w:rsidR="00DA2474">
                    <w:rPr>
                      <w:rFonts w:ascii="Calibri" w:hAnsi="Calibri" w:cs="Calibri"/>
                      <w:color w:val="000000"/>
                      <w:sz w:val="18"/>
                      <w:szCs w:val="18"/>
                    </w:rPr>
                    <w:t>N</w:t>
                  </w:r>
                  <w:r w:rsidRPr="005B6E35">
                    <w:rPr>
                      <w:rFonts w:ascii="Calibri" w:hAnsi="Calibri" w:cs="Calibri"/>
                      <w:color w:val="000000"/>
                      <w:sz w:val="18"/>
                      <w:szCs w:val="18"/>
                    </w:rPr>
                    <w:t xml:space="preserve">ames can be viewed by clicking the icon next to the </w:t>
                  </w:r>
                  <w:r w:rsidR="006C6A8C">
                    <w:rPr>
                      <w:rFonts w:ascii="Calibri" w:hAnsi="Calibri" w:cs="Calibri"/>
                      <w:color w:val="000000"/>
                      <w:sz w:val="18"/>
                      <w:szCs w:val="18"/>
                    </w:rPr>
                    <w:t>Remit</w:t>
                  </w:r>
                  <w:r w:rsidR="008F5AE7">
                    <w:rPr>
                      <w:rFonts w:ascii="Calibri" w:hAnsi="Calibri" w:cs="Calibri"/>
                      <w:color w:val="000000"/>
                      <w:sz w:val="18"/>
                      <w:szCs w:val="18"/>
                    </w:rPr>
                    <w:t xml:space="preserve"> to</w:t>
                  </w:r>
                  <w:r w:rsidR="006C6A8C">
                    <w:rPr>
                      <w:rFonts w:ascii="Calibri" w:hAnsi="Calibri" w:cs="Calibri"/>
                      <w:color w:val="000000"/>
                      <w:sz w:val="18"/>
                      <w:szCs w:val="18"/>
                    </w:rPr>
                    <w:t xml:space="preserve"> </w:t>
                  </w:r>
                  <w:r w:rsidRPr="005B6E35">
                    <w:rPr>
                      <w:rFonts w:ascii="Calibri" w:hAnsi="Calibri" w:cs="Calibri"/>
                      <w:color w:val="000000"/>
                      <w:sz w:val="18"/>
                      <w:szCs w:val="18"/>
                    </w:rPr>
                    <w:t>supplier ID field.</w:t>
                  </w:r>
                </w:p>
              </w:tc>
            </w:tr>
            <w:tr w:rsidR="005B6E35" w:rsidRPr="005B6E35" w14:paraId="0DFD0265" w14:textId="77777777" w:rsidTr="00335046">
              <w:trPr>
                <w:trHeight w:val="481"/>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9C921D5"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b.</w:t>
                  </w:r>
                </w:p>
              </w:tc>
              <w:tc>
                <w:tcPr>
                  <w:tcW w:w="1903" w:type="dxa"/>
                  <w:tcBorders>
                    <w:top w:val="nil"/>
                    <w:left w:val="nil"/>
                    <w:bottom w:val="single" w:sz="4" w:space="0" w:color="auto"/>
                    <w:right w:val="single" w:sz="4" w:space="0" w:color="auto"/>
                  </w:tcBorders>
                  <w:shd w:val="clear" w:color="auto" w:fill="auto"/>
                  <w:noWrap/>
                  <w:vAlign w:val="center"/>
                  <w:hideMark/>
                </w:tcPr>
                <w:p w14:paraId="7423B0C2"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*Location</w:t>
                  </w:r>
                </w:p>
              </w:tc>
              <w:tc>
                <w:tcPr>
                  <w:tcW w:w="7820" w:type="dxa"/>
                  <w:tcBorders>
                    <w:top w:val="nil"/>
                    <w:left w:val="nil"/>
                    <w:bottom w:val="single" w:sz="4" w:space="0" w:color="auto"/>
                    <w:right w:val="single" w:sz="4" w:space="0" w:color="auto"/>
                  </w:tcBorders>
                  <w:shd w:val="clear" w:color="auto" w:fill="auto"/>
                  <w:vAlign w:val="center"/>
                  <w:hideMark/>
                </w:tcPr>
                <w:p w14:paraId="5C4E3A2F" w14:textId="77777777" w:rsidR="00F410BB" w:rsidRDefault="005B6E35" w:rsidP="005B6E35">
                  <w:pPr>
                    <w:rPr>
                      <w:rFonts w:ascii="Calibri" w:hAnsi="Calibri" w:cs="Calibri"/>
                      <w:color w:val="000000"/>
                      <w:sz w:val="18"/>
                      <w:szCs w:val="18"/>
                    </w:rPr>
                  </w:pPr>
                  <w:r w:rsidRPr="005B6E35">
                    <w:rPr>
                      <w:rFonts w:ascii="Calibri" w:hAnsi="Calibri" w:cs="Calibri"/>
                      <w:color w:val="000000"/>
                      <w:sz w:val="18"/>
                      <w:szCs w:val="18"/>
                    </w:rPr>
                    <w:t>This location is what will drive the payment Method (CHK</w:t>
                  </w:r>
                  <w:r w:rsidR="00ED45DA">
                    <w:rPr>
                      <w:rFonts w:ascii="Calibri" w:hAnsi="Calibri" w:cs="Calibri"/>
                      <w:color w:val="000000"/>
                      <w:sz w:val="18"/>
                      <w:szCs w:val="18"/>
                    </w:rPr>
                    <w:t xml:space="preserve">, </w:t>
                  </w:r>
                  <w:r w:rsidR="001618F0">
                    <w:rPr>
                      <w:rFonts w:ascii="Calibri" w:hAnsi="Calibri" w:cs="Calibri"/>
                      <w:color w:val="000000"/>
                      <w:sz w:val="18"/>
                      <w:szCs w:val="18"/>
                    </w:rPr>
                    <w:t>ACH</w:t>
                  </w:r>
                  <w:r w:rsidR="00ED45DA">
                    <w:rPr>
                      <w:rFonts w:ascii="Calibri" w:hAnsi="Calibri" w:cs="Calibri"/>
                      <w:color w:val="000000"/>
                      <w:sz w:val="18"/>
                      <w:szCs w:val="18"/>
                    </w:rPr>
                    <w:t>, GE</w:t>
                  </w:r>
                  <w:r w:rsidRPr="005B6E35">
                    <w:rPr>
                      <w:rFonts w:ascii="Calibri" w:hAnsi="Calibri" w:cs="Calibri"/>
                      <w:color w:val="000000"/>
                      <w:sz w:val="18"/>
                      <w:szCs w:val="18"/>
                    </w:rPr>
                    <w:t xml:space="preserve">). Update this location as necessary to ensure the desired </w:t>
                  </w:r>
                  <w:r w:rsidR="00E1035A">
                    <w:rPr>
                      <w:rFonts w:ascii="Calibri" w:hAnsi="Calibri" w:cs="Calibri"/>
                      <w:color w:val="000000"/>
                      <w:sz w:val="18"/>
                      <w:szCs w:val="18"/>
                    </w:rPr>
                    <w:t>M</w:t>
                  </w:r>
                  <w:r w:rsidRPr="005B6E35">
                    <w:rPr>
                      <w:rFonts w:ascii="Calibri" w:hAnsi="Calibri" w:cs="Calibri"/>
                      <w:color w:val="000000"/>
                      <w:sz w:val="18"/>
                      <w:szCs w:val="18"/>
                    </w:rPr>
                    <w:t>ethod is selected.</w:t>
                  </w:r>
                  <w:r w:rsidR="00F410BB">
                    <w:rPr>
                      <w:rFonts w:ascii="Calibri" w:hAnsi="Calibri" w:cs="Calibri"/>
                      <w:color w:val="000000"/>
                      <w:sz w:val="18"/>
                      <w:szCs w:val="18"/>
                    </w:rPr>
                    <w:t xml:space="preserve"> </w:t>
                  </w:r>
                </w:p>
                <w:p w14:paraId="1840EE27" w14:textId="0ABF20C6" w:rsidR="005B6E35" w:rsidRPr="005B6E35" w:rsidRDefault="00F410BB" w:rsidP="005B6E35">
                  <w:pPr>
                    <w:rPr>
                      <w:rFonts w:ascii="Calibri" w:hAnsi="Calibri" w:cs="Calibri"/>
                      <w:i/>
                      <w:color w:val="000000"/>
                      <w:sz w:val="18"/>
                      <w:szCs w:val="18"/>
                    </w:rPr>
                  </w:pPr>
                  <w:r w:rsidRPr="00F410BB">
                    <w:rPr>
                      <w:rFonts w:ascii="Calibri" w:hAnsi="Calibri" w:cs="Calibri"/>
                      <w:i/>
                      <w:color w:val="000000"/>
                      <w:sz w:val="18"/>
                      <w:szCs w:val="18"/>
                    </w:rPr>
                    <w:t>Note:  GE</w:t>
                  </w:r>
                  <w:r w:rsidR="00BC36CD">
                    <w:rPr>
                      <w:rFonts w:ascii="Calibri" w:hAnsi="Calibri" w:cs="Calibri"/>
                      <w:i/>
                      <w:color w:val="000000"/>
                      <w:sz w:val="18"/>
                      <w:szCs w:val="18"/>
                    </w:rPr>
                    <w:t xml:space="preserve"> payment method</w:t>
                  </w:r>
                  <w:r w:rsidRPr="00F410BB">
                    <w:rPr>
                      <w:rFonts w:ascii="Calibri" w:hAnsi="Calibri" w:cs="Calibri"/>
                      <w:i/>
                      <w:color w:val="000000"/>
                      <w:sz w:val="18"/>
                      <w:szCs w:val="18"/>
                    </w:rPr>
                    <w:t xml:space="preserve"> should only be used on vouchers </w:t>
                  </w:r>
                  <w:r w:rsidR="00380F61">
                    <w:rPr>
                      <w:rFonts w:ascii="Calibri" w:hAnsi="Calibri" w:cs="Calibri"/>
                      <w:i/>
                      <w:color w:val="000000"/>
                      <w:sz w:val="18"/>
                      <w:szCs w:val="18"/>
                    </w:rPr>
                    <w:t>that will be paid on an interfund</w:t>
                  </w:r>
                  <w:r w:rsidRPr="00F410BB">
                    <w:rPr>
                      <w:rFonts w:ascii="Calibri" w:hAnsi="Calibri" w:cs="Calibri"/>
                      <w:i/>
                      <w:color w:val="000000"/>
                      <w:sz w:val="18"/>
                      <w:szCs w:val="18"/>
                    </w:rPr>
                    <w:t>.</w:t>
                  </w:r>
                </w:p>
              </w:tc>
            </w:tr>
            <w:tr w:rsidR="005B6E35" w:rsidRPr="005B6E35" w14:paraId="18F47319" w14:textId="77777777" w:rsidTr="00335046">
              <w:trPr>
                <w:trHeight w:val="49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E51A752"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c.</w:t>
                  </w:r>
                </w:p>
              </w:tc>
              <w:tc>
                <w:tcPr>
                  <w:tcW w:w="1903" w:type="dxa"/>
                  <w:tcBorders>
                    <w:top w:val="nil"/>
                    <w:left w:val="nil"/>
                    <w:bottom w:val="single" w:sz="4" w:space="0" w:color="auto"/>
                    <w:right w:val="single" w:sz="4" w:space="0" w:color="auto"/>
                  </w:tcBorders>
                  <w:shd w:val="clear" w:color="auto" w:fill="auto"/>
                  <w:noWrap/>
                  <w:vAlign w:val="center"/>
                  <w:hideMark/>
                </w:tcPr>
                <w:p w14:paraId="5D8CCB54"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*Address</w:t>
                  </w:r>
                </w:p>
              </w:tc>
              <w:tc>
                <w:tcPr>
                  <w:tcW w:w="7820" w:type="dxa"/>
                  <w:tcBorders>
                    <w:top w:val="nil"/>
                    <w:left w:val="nil"/>
                    <w:bottom w:val="single" w:sz="4" w:space="0" w:color="auto"/>
                    <w:right w:val="single" w:sz="4" w:space="0" w:color="auto"/>
                  </w:tcBorders>
                  <w:shd w:val="clear" w:color="auto" w:fill="auto"/>
                  <w:vAlign w:val="center"/>
                  <w:hideMark/>
                </w:tcPr>
                <w:p w14:paraId="7D614DD9" w14:textId="61BC84BE"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This address </w:t>
                  </w:r>
                  <w:r w:rsidR="00483D5F">
                    <w:rPr>
                      <w:rFonts w:ascii="Calibri" w:hAnsi="Calibri" w:cs="Calibri"/>
                      <w:color w:val="000000"/>
                      <w:sz w:val="18"/>
                      <w:szCs w:val="18"/>
                    </w:rPr>
                    <w:t>will be printed on the check</w:t>
                  </w:r>
                  <w:r w:rsidR="00CE2D7B">
                    <w:rPr>
                      <w:rFonts w:ascii="Calibri" w:hAnsi="Calibri" w:cs="Calibri"/>
                      <w:color w:val="000000"/>
                      <w:sz w:val="18"/>
                      <w:szCs w:val="18"/>
                    </w:rPr>
                    <w:t xml:space="preserve"> and is</w:t>
                  </w:r>
                  <w:r w:rsidR="00483D5F">
                    <w:rPr>
                      <w:rFonts w:ascii="Calibri" w:hAnsi="Calibri" w:cs="Calibri"/>
                      <w:color w:val="000000"/>
                      <w:sz w:val="18"/>
                      <w:szCs w:val="18"/>
                    </w:rPr>
                    <w:t xml:space="preserve"> </w:t>
                  </w:r>
                  <w:r w:rsidRPr="005B6E35">
                    <w:rPr>
                      <w:rFonts w:ascii="Calibri" w:hAnsi="Calibri" w:cs="Calibri"/>
                      <w:color w:val="000000"/>
                      <w:sz w:val="18"/>
                      <w:szCs w:val="18"/>
                    </w:rPr>
                    <w:t>where the payment will be mailed (if it is a CHK payment). Update this as necessary.</w:t>
                  </w:r>
                </w:p>
              </w:tc>
            </w:tr>
            <w:tr w:rsidR="005B6E35" w:rsidRPr="005B6E35" w14:paraId="37D64F60" w14:textId="77777777" w:rsidTr="00335046">
              <w:trPr>
                <w:trHeight w:val="722"/>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4F043E5"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d.</w:t>
                  </w:r>
                </w:p>
              </w:tc>
              <w:tc>
                <w:tcPr>
                  <w:tcW w:w="1903" w:type="dxa"/>
                  <w:tcBorders>
                    <w:top w:val="nil"/>
                    <w:left w:val="nil"/>
                    <w:bottom w:val="single" w:sz="4" w:space="0" w:color="auto"/>
                    <w:right w:val="single" w:sz="4" w:space="0" w:color="auto"/>
                  </w:tcBorders>
                  <w:shd w:val="clear" w:color="auto" w:fill="auto"/>
                  <w:noWrap/>
                  <w:vAlign w:val="center"/>
                  <w:hideMark/>
                </w:tcPr>
                <w:p w14:paraId="4069A2C6"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Scheduled Due</w:t>
                  </w:r>
                </w:p>
              </w:tc>
              <w:tc>
                <w:tcPr>
                  <w:tcW w:w="7820" w:type="dxa"/>
                  <w:tcBorders>
                    <w:top w:val="nil"/>
                    <w:left w:val="nil"/>
                    <w:bottom w:val="single" w:sz="4" w:space="0" w:color="auto"/>
                    <w:right w:val="single" w:sz="4" w:space="0" w:color="auto"/>
                  </w:tcBorders>
                  <w:shd w:val="clear" w:color="auto" w:fill="auto"/>
                  <w:vAlign w:val="center"/>
                  <w:hideMark/>
                </w:tcPr>
                <w:p w14:paraId="2F966610" w14:textId="1435019A"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This box can be populated with the date you are wanting the payment to process. Once the voucher is Saved, this box will auto</w:t>
                  </w:r>
                  <w:r w:rsidR="00B847DF">
                    <w:rPr>
                      <w:rFonts w:ascii="Calibri" w:hAnsi="Calibri" w:cs="Calibri"/>
                      <w:color w:val="000000"/>
                      <w:sz w:val="18"/>
                      <w:szCs w:val="18"/>
                    </w:rPr>
                    <w:t>-</w:t>
                  </w:r>
                  <w:r w:rsidRPr="005B6E35">
                    <w:rPr>
                      <w:rFonts w:ascii="Calibri" w:hAnsi="Calibri" w:cs="Calibri"/>
                      <w:color w:val="000000"/>
                      <w:sz w:val="18"/>
                      <w:szCs w:val="18"/>
                    </w:rPr>
                    <w:t xml:space="preserve">populate with the scheduled due date </w:t>
                  </w:r>
                  <w:r w:rsidR="003749F1">
                    <w:rPr>
                      <w:rFonts w:ascii="Calibri" w:hAnsi="Calibri" w:cs="Calibri"/>
                      <w:color w:val="000000"/>
                      <w:sz w:val="18"/>
                      <w:szCs w:val="18"/>
                    </w:rPr>
                    <w:t>based on</w:t>
                  </w:r>
                  <w:r w:rsidRPr="005B6E35">
                    <w:rPr>
                      <w:rFonts w:ascii="Calibri" w:hAnsi="Calibri" w:cs="Calibri"/>
                      <w:color w:val="000000"/>
                      <w:sz w:val="18"/>
                      <w:szCs w:val="18"/>
                    </w:rPr>
                    <w:t xml:space="preserve"> the Pay Terms and Invoice Date on the voucher. It can be edited is necessary.</w:t>
                  </w:r>
                </w:p>
              </w:tc>
            </w:tr>
            <w:tr w:rsidR="005B6E35" w:rsidRPr="005B6E35" w14:paraId="385B3E9A" w14:textId="77777777" w:rsidTr="00335046">
              <w:trPr>
                <w:trHeight w:val="332"/>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3AFEE5E"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e.</w:t>
                  </w:r>
                </w:p>
              </w:tc>
              <w:tc>
                <w:tcPr>
                  <w:tcW w:w="1903" w:type="dxa"/>
                  <w:tcBorders>
                    <w:top w:val="nil"/>
                    <w:left w:val="nil"/>
                    <w:bottom w:val="single" w:sz="4" w:space="0" w:color="auto"/>
                    <w:right w:val="single" w:sz="4" w:space="0" w:color="auto"/>
                  </w:tcBorders>
                  <w:shd w:val="clear" w:color="auto" w:fill="auto"/>
                  <w:noWrap/>
                  <w:vAlign w:val="center"/>
                  <w:hideMark/>
                </w:tcPr>
                <w:p w14:paraId="7F58537A"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Payment Comments</w:t>
                  </w:r>
                </w:p>
              </w:tc>
              <w:tc>
                <w:tcPr>
                  <w:tcW w:w="7820" w:type="dxa"/>
                  <w:tcBorders>
                    <w:top w:val="nil"/>
                    <w:left w:val="nil"/>
                    <w:bottom w:val="single" w:sz="4" w:space="0" w:color="auto"/>
                    <w:right w:val="single" w:sz="4" w:space="0" w:color="auto"/>
                  </w:tcBorders>
                  <w:shd w:val="clear" w:color="auto" w:fill="auto"/>
                  <w:vAlign w:val="center"/>
                  <w:hideMark/>
                </w:tcPr>
                <w:p w14:paraId="7A876C86" w14:textId="7B26A6A0"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This hyperlink</w:t>
                  </w:r>
                  <w:r w:rsidR="004E0864">
                    <w:rPr>
                      <w:rFonts w:ascii="Calibri" w:hAnsi="Calibri" w:cs="Calibri"/>
                      <w:color w:val="000000"/>
                      <w:sz w:val="18"/>
                      <w:szCs w:val="18"/>
                    </w:rPr>
                    <w:t xml:space="preserve"> </w:t>
                  </w:r>
                  <w:r w:rsidRPr="005B6E35">
                    <w:rPr>
                      <w:rFonts w:ascii="Calibri" w:hAnsi="Calibri" w:cs="Calibri"/>
                      <w:color w:val="000000"/>
                      <w:sz w:val="18"/>
                      <w:szCs w:val="18"/>
                    </w:rPr>
                    <w:t>allow</w:t>
                  </w:r>
                  <w:r w:rsidR="004E0864">
                    <w:rPr>
                      <w:rFonts w:ascii="Calibri" w:hAnsi="Calibri" w:cs="Calibri"/>
                      <w:color w:val="000000"/>
                      <w:sz w:val="18"/>
                      <w:szCs w:val="18"/>
                    </w:rPr>
                    <w:t>s</w:t>
                  </w:r>
                  <w:r w:rsidRPr="005B6E35">
                    <w:rPr>
                      <w:rFonts w:ascii="Calibri" w:hAnsi="Calibri" w:cs="Calibri"/>
                      <w:color w:val="000000"/>
                      <w:sz w:val="18"/>
                      <w:szCs w:val="18"/>
                    </w:rPr>
                    <w:t xml:space="preserve"> the user to add a note for internal purposes about the voucher or payment.</w:t>
                  </w:r>
                </w:p>
              </w:tc>
            </w:tr>
            <w:tr w:rsidR="005B6E35" w:rsidRPr="005B6E35" w14:paraId="4FAB4F5F" w14:textId="77777777" w:rsidTr="00335046">
              <w:trPr>
                <w:trHeight w:val="84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F7D5F68"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f.</w:t>
                  </w:r>
                </w:p>
              </w:tc>
              <w:tc>
                <w:tcPr>
                  <w:tcW w:w="1903" w:type="dxa"/>
                  <w:tcBorders>
                    <w:top w:val="nil"/>
                    <w:left w:val="nil"/>
                    <w:bottom w:val="single" w:sz="4" w:space="0" w:color="auto"/>
                    <w:right w:val="single" w:sz="4" w:space="0" w:color="auto"/>
                  </w:tcBorders>
                  <w:shd w:val="clear" w:color="auto" w:fill="auto"/>
                  <w:noWrap/>
                  <w:vAlign w:val="center"/>
                  <w:hideMark/>
                </w:tcPr>
                <w:p w14:paraId="27C1DADF"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*Method</w:t>
                  </w:r>
                </w:p>
              </w:tc>
              <w:tc>
                <w:tcPr>
                  <w:tcW w:w="7820" w:type="dxa"/>
                  <w:tcBorders>
                    <w:top w:val="nil"/>
                    <w:left w:val="nil"/>
                    <w:bottom w:val="single" w:sz="4" w:space="0" w:color="auto"/>
                    <w:right w:val="single" w:sz="4" w:space="0" w:color="auto"/>
                  </w:tcBorders>
                  <w:shd w:val="clear" w:color="auto" w:fill="auto"/>
                  <w:vAlign w:val="center"/>
                  <w:hideMark/>
                </w:tcPr>
                <w:p w14:paraId="3197220A" w14:textId="5526804E" w:rsid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The payment </w:t>
                  </w:r>
                  <w:r w:rsidR="008B6276">
                    <w:rPr>
                      <w:rFonts w:ascii="Calibri" w:hAnsi="Calibri" w:cs="Calibri"/>
                      <w:color w:val="000000"/>
                      <w:sz w:val="18"/>
                      <w:szCs w:val="18"/>
                    </w:rPr>
                    <w:t>M</w:t>
                  </w:r>
                  <w:r w:rsidRPr="005B6E35">
                    <w:rPr>
                      <w:rFonts w:ascii="Calibri" w:hAnsi="Calibri" w:cs="Calibri"/>
                      <w:color w:val="000000"/>
                      <w:sz w:val="18"/>
                      <w:szCs w:val="18"/>
                    </w:rPr>
                    <w:t xml:space="preserve">ethod is tied to the supplier Location that is selected on the Payments tab. This may be updated for vouchers that require specific payment methods such as </w:t>
                  </w:r>
                  <w:r w:rsidR="008B6276">
                    <w:rPr>
                      <w:rFonts w:ascii="Calibri" w:hAnsi="Calibri" w:cs="Calibri"/>
                      <w:color w:val="000000"/>
                      <w:sz w:val="18"/>
                      <w:szCs w:val="18"/>
                    </w:rPr>
                    <w:t>those</w:t>
                  </w:r>
                  <w:r w:rsidRPr="005B6E35">
                    <w:rPr>
                      <w:rFonts w:ascii="Calibri" w:hAnsi="Calibri" w:cs="Calibri"/>
                      <w:color w:val="000000"/>
                      <w:sz w:val="18"/>
                      <w:szCs w:val="18"/>
                    </w:rPr>
                    <w:t xml:space="preserve"> created for </w:t>
                  </w:r>
                  <w:proofErr w:type="spellStart"/>
                  <w:r w:rsidRPr="005B6E35">
                    <w:rPr>
                      <w:rFonts w:ascii="Calibri" w:hAnsi="Calibri" w:cs="Calibri"/>
                      <w:color w:val="000000"/>
                      <w:sz w:val="18"/>
                      <w:szCs w:val="18"/>
                    </w:rPr>
                    <w:t>Imprest</w:t>
                  </w:r>
                  <w:proofErr w:type="spellEnd"/>
                  <w:r w:rsidRPr="005B6E35">
                    <w:rPr>
                      <w:rFonts w:ascii="Calibri" w:hAnsi="Calibri" w:cs="Calibri"/>
                      <w:color w:val="000000"/>
                      <w:sz w:val="18"/>
                      <w:szCs w:val="18"/>
                    </w:rPr>
                    <w:t>/Petty Cash expenditure recording or vouchers created for WIRE transfers.</w:t>
                  </w:r>
                </w:p>
                <w:p w14:paraId="52F6586E" w14:textId="41151890" w:rsidR="00BC36CD" w:rsidRPr="005B6E35" w:rsidRDefault="00BC36CD" w:rsidP="005B6E35">
                  <w:pPr>
                    <w:rPr>
                      <w:rFonts w:ascii="Calibri" w:hAnsi="Calibri" w:cs="Calibri"/>
                      <w:color w:val="000000"/>
                      <w:sz w:val="18"/>
                      <w:szCs w:val="18"/>
                    </w:rPr>
                  </w:pPr>
                  <w:r w:rsidRPr="00F410BB">
                    <w:rPr>
                      <w:rFonts w:ascii="Calibri" w:hAnsi="Calibri" w:cs="Calibri"/>
                      <w:i/>
                      <w:color w:val="000000"/>
                      <w:sz w:val="18"/>
                      <w:szCs w:val="18"/>
                    </w:rPr>
                    <w:t>Note:  GE</w:t>
                  </w:r>
                  <w:r>
                    <w:rPr>
                      <w:rFonts w:ascii="Calibri" w:hAnsi="Calibri" w:cs="Calibri"/>
                      <w:i/>
                      <w:color w:val="000000"/>
                      <w:sz w:val="18"/>
                      <w:szCs w:val="18"/>
                    </w:rPr>
                    <w:t xml:space="preserve"> payment method</w:t>
                  </w:r>
                  <w:r w:rsidRPr="00F410BB">
                    <w:rPr>
                      <w:rFonts w:ascii="Calibri" w:hAnsi="Calibri" w:cs="Calibri"/>
                      <w:i/>
                      <w:color w:val="000000"/>
                      <w:sz w:val="18"/>
                      <w:szCs w:val="18"/>
                    </w:rPr>
                    <w:t xml:space="preserve"> should only be used on vouchers </w:t>
                  </w:r>
                  <w:r w:rsidR="005F4A52">
                    <w:rPr>
                      <w:rFonts w:ascii="Calibri" w:hAnsi="Calibri" w:cs="Calibri"/>
                      <w:i/>
                      <w:color w:val="000000"/>
                      <w:sz w:val="18"/>
                      <w:szCs w:val="18"/>
                    </w:rPr>
                    <w:t>that will be paid on an interfund.</w:t>
                  </w:r>
                </w:p>
              </w:tc>
            </w:tr>
            <w:tr w:rsidR="005B6E35" w:rsidRPr="005B6E35" w14:paraId="7AD3B89F" w14:textId="77777777" w:rsidTr="00335046">
              <w:trPr>
                <w:trHeight w:val="106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10E06D"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g.</w:t>
                  </w:r>
                </w:p>
              </w:tc>
              <w:tc>
                <w:tcPr>
                  <w:tcW w:w="1903" w:type="dxa"/>
                  <w:tcBorders>
                    <w:top w:val="nil"/>
                    <w:left w:val="nil"/>
                    <w:bottom w:val="single" w:sz="4" w:space="0" w:color="auto"/>
                    <w:right w:val="single" w:sz="4" w:space="0" w:color="auto"/>
                  </w:tcBorders>
                  <w:shd w:val="clear" w:color="auto" w:fill="auto"/>
                  <w:noWrap/>
                  <w:vAlign w:val="center"/>
                  <w:hideMark/>
                </w:tcPr>
                <w:p w14:paraId="747EAB88"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*Handling</w:t>
                  </w:r>
                </w:p>
              </w:tc>
              <w:tc>
                <w:tcPr>
                  <w:tcW w:w="7820" w:type="dxa"/>
                  <w:tcBorders>
                    <w:top w:val="nil"/>
                    <w:left w:val="nil"/>
                    <w:bottom w:val="single" w:sz="4" w:space="0" w:color="auto"/>
                    <w:right w:val="single" w:sz="4" w:space="0" w:color="auto"/>
                  </w:tcBorders>
                  <w:shd w:val="clear" w:color="auto" w:fill="auto"/>
                  <w:vAlign w:val="center"/>
                  <w:hideMark/>
                </w:tcPr>
                <w:p w14:paraId="3A877D03" w14:textId="749EA319"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The handling field will auto</w:t>
                  </w:r>
                  <w:r>
                    <w:rPr>
                      <w:rFonts w:ascii="Calibri" w:hAnsi="Calibri" w:cs="Calibri"/>
                      <w:color w:val="000000"/>
                      <w:sz w:val="18"/>
                      <w:szCs w:val="18"/>
                    </w:rPr>
                    <w:t>-</w:t>
                  </w:r>
                  <w:r w:rsidRPr="005B6E35">
                    <w:rPr>
                      <w:rFonts w:ascii="Calibri" w:hAnsi="Calibri" w:cs="Calibri"/>
                      <w:color w:val="000000"/>
                      <w:sz w:val="18"/>
                      <w:szCs w:val="18"/>
                    </w:rPr>
                    <w:t>populate according to how the supplier is set up. 'CM-Central Mail - ZIP'</w:t>
                  </w:r>
                  <w:r w:rsidR="002078FC">
                    <w:rPr>
                      <w:rFonts w:ascii="Calibri" w:hAnsi="Calibri" w:cs="Calibri"/>
                      <w:color w:val="000000"/>
                      <w:sz w:val="18"/>
                      <w:szCs w:val="18"/>
                    </w:rPr>
                    <w:t>, which means the check will</w:t>
                  </w:r>
                  <w:r w:rsidR="00B33207">
                    <w:rPr>
                      <w:rFonts w:ascii="Calibri" w:hAnsi="Calibri" w:cs="Calibri"/>
                      <w:color w:val="000000"/>
                      <w:sz w:val="18"/>
                      <w:szCs w:val="18"/>
                    </w:rPr>
                    <w:t xml:space="preserve"> be</w:t>
                  </w:r>
                  <w:r w:rsidR="00845309">
                    <w:rPr>
                      <w:rFonts w:ascii="Calibri" w:hAnsi="Calibri" w:cs="Calibri"/>
                      <w:color w:val="000000"/>
                      <w:sz w:val="18"/>
                      <w:szCs w:val="18"/>
                    </w:rPr>
                    <w:t xml:space="preserve"> mailed to the address selected on the Payments tab,</w:t>
                  </w:r>
                  <w:r w:rsidRPr="005B6E35">
                    <w:rPr>
                      <w:rFonts w:ascii="Calibri" w:hAnsi="Calibri" w:cs="Calibri"/>
                      <w:color w:val="000000"/>
                      <w:sz w:val="18"/>
                      <w:szCs w:val="18"/>
                    </w:rPr>
                    <w:t xml:space="preserve"> is the most common value populated into this field</w:t>
                  </w:r>
                  <w:r w:rsidR="00845309">
                    <w:rPr>
                      <w:rFonts w:ascii="Calibri" w:hAnsi="Calibri" w:cs="Calibri"/>
                      <w:color w:val="000000"/>
                      <w:sz w:val="18"/>
                      <w:szCs w:val="18"/>
                    </w:rPr>
                    <w:t xml:space="preserve">. </w:t>
                  </w:r>
                  <w:r w:rsidRPr="005B6E35">
                    <w:rPr>
                      <w:rFonts w:ascii="Calibri" w:hAnsi="Calibri" w:cs="Calibri"/>
                      <w:color w:val="000000"/>
                      <w:sz w:val="18"/>
                      <w:szCs w:val="18"/>
                    </w:rPr>
                    <w:t>To have a check returned to the agency, select the appropriate handling code from the drop</w:t>
                  </w:r>
                  <w:r w:rsidR="00D477B1">
                    <w:rPr>
                      <w:rFonts w:ascii="Calibri" w:hAnsi="Calibri" w:cs="Calibri"/>
                      <w:color w:val="000000"/>
                      <w:sz w:val="18"/>
                      <w:szCs w:val="18"/>
                    </w:rPr>
                    <w:t>-</w:t>
                  </w:r>
                  <w:r w:rsidRPr="005B6E35">
                    <w:rPr>
                      <w:rFonts w:ascii="Calibri" w:hAnsi="Calibri" w:cs="Calibri"/>
                      <w:color w:val="000000"/>
                      <w:sz w:val="18"/>
                      <w:szCs w:val="18"/>
                    </w:rPr>
                    <w:t>down menu.</w:t>
                  </w:r>
                  <w:r w:rsidR="00845309">
                    <w:rPr>
                      <w:rFonts w:ascii="Calibri" w:hAnsi="Calibri" w:cs="Calibri"/>
                      <w:color w:val="000000"/>
                      <w:sz w:val="18"/>
                      <w:szCs w:val="18"/>
                    </w:rPr>
                    <w:t xml:space="preserve"> This setting will not impact payments that do</w:t>
                  </w:r>
                  <w:r w:rsidR="00B33207">
                    <w:rPr>
                      <w:rFonts w:ascii="Calibri" w:hAnsi="Calibri" w:cs="Calibri"/>
                      <w:color w:val="000000"/>
                      <w:sz w:val="18"/>
                      <w:szCs w:val="18"/>
                    </w:rPr>
                    <w:t xml:space="preserve"> not</w:t>
                  </w:r>
                  <w:r w:rsidR="00845309">
                    <w:rPr>
                      <w:rFonts w:ascii="Calibri" w:hAnsi="Calibri" w:cs="Calibri"/>
                      <w:color w:val="000000"/>
                      <w:sz w:val="18"/>
                      <w:szCs w:val="18"/>
                    </w:rPr>
                    <w:t xml:space="preserve"> </w:t>
                  </w:r>
                  <w:r w:rsidR="005E28A3">
                    <w:rPr>
                      <w:rFonts w:ascii="Calibri" w:hAnsi="Calibri" w:cs="Calibri"/>
                      <w:color w:val="000000"/>
                      <w:sz w:val="18"/>
                      <w:szCs w:val="18"/>
                    </w:rPr>
                    <w:t>have CHK as the Method.</w:t>
                  </w:r>
                </w:p>
              </w:tc>
            </w:tr>
            <w:tr w:rsidR="005B6E35" w:rsidRPr="005B6E35" w14:paraId="6549B537" w14:textId="77777777" w:rsidTr="00335046">
              <w:trPr>
                <w:trHeight w:val="481"/>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75EB87B"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h.</w:t>
                  </w:r>
                </w:p>
              </w:tc>
              <w:tc>
                <w:tcPr>
                  <w:tcW w:w="1903" w:type="dxa"/>
                  <w:tcBorders>
                    <w:top w:val="nil"/>
                    <w:left w:val="nil"/>
                    <w:bottom w:val="single" w:sz="4" w:space="0" w:color="auto"/>
                    <w:right w:val="single" w:sz="4" w:space="0" w:color="auto"/>
                  </w:tcBorders>
                  <w:shd w:val="clear" w:color="auto" w:fill="auto"/>
                  <w:noWrap/>
                  <w:vAlign w:val="center"/>
                  <w:hideMark/>
                </w:tcPr>
                <w:p w14:paraId="77D7FEF4"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Hold Payment</w:t>
                  </w:r>
                </w:p>
              </w:tc>
              <w:tc>
                <w:tcPr>
                  <w:tcW w:w="7820" w:type="dxa"/>
                  <w:tcBorders>
                    <w:top w:val="nil"/>
                    <w:left w:val="nil"/>
                    <w:bottom w:val="single" w:sz="4" w:space="0" w:color="auto"/>
                    <w:right w:val="single" w:sz="4" w:space="0" w:color="auto"/>
                  </w:tcBorders>
                  <w:shd w:val="clear" w:color="auto" w:fill="auto"/>
                  <w:vAlign w:val="center"/>
                  <w:hideMark/>
                </w:tcPr>
                <w:p w14:paraId="345CC04A" w14:textId="59551F2B"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Select this box to prevent the voucher from going through Pay Cycle</w:t>
                  </w:r>
                  <w:r w:rsidR="0067532C">
                    <w:rPr>
                      <w:rFonts w:ascii="Calibri" w:hAnsi="Calibri" w:cs="Calibri"/>
                      <w:color w:val="000000"/>
                      <w:sz w:val="18"/>
                      <w:szCs w:val="18"/>
                    </w:rPr>
                    <w:t>.</w:t>
                  </w:r>
                  <w:r w:rsidRPr="005B6E35">
                    <w:rPr>
                      <w:rFonts w:ascii="Calibri" w:hAnsi="Calibri" w:cs="Calibri"/>
                      <w:color w:val="000000"/>
                      <w:sz w:val="18"/>
                      <w:szCs w:val="18"/>
                    </w:rPr>
                    <w:t xml:space="preserve"> </w:t>
                  </w:r>
                  <w:r w:rsidR="00B34D76">
                    <w:rPr>
                      <w:rFonts w:ascii="Calibri" w:hAnsi="Calibri" w:cs="Calibri"/>
                      <w:color w:val="000000"/>
                      <w:sz w:val="18"/>
                      <w:szCs w:val="18"/>
                    </w:rPr>
                    <w:t>When this box is checked, a</w:t>
                  </w:r>
                  <w:r w:rsidRPr="005B6E35">
                    <w:rPr>
                      <w:rFonts w:ascii="Calibri" w:hAnsi="Calibri" w:cs="Calibri"/>
                      <w:color w:val="000000"/>
                      <w:sz w:val="18"/>
                      <w:szCs w:val="18"/>
                    </w:rPr>
                    <w:t xml:space="preserve"> Hold Reason</w:t>
                  </w:r>
                  <w:r w:rsidR="0067532C">
                    <w:rPr>
                      <w:rFonts w:ascii="Calibri" w:hAnsi="Calibri" w:cs="Calibri"/>
                      <w:color w:val="000000"/>
                      <w:sz w:val="18"/>
                      <w:szCs w:val="18"/>
                    </w:rPr>
                    <w:t xml:space="preserve"> will also need to be selected</w:t>
                  </w:r>
                  <w:r w:rsidRPr="005B6E35">
                    <w:rPr>
                      <w:rFonts w:ascii="Calibri" w:hAnsi="Calibri" w:cs="Calibri"/>
                      <w:color w:val="000000"/>
                      <w:sz w:val="18"/>
                      <w:szCs w:val="18"/>
                    </w:rPr>
                    <w:t>.</w:t>
                  </w:r>
                </w:p>
              </w:tc>
            </w:tr>
            <w:tr w:rsidR="005B6E35" w:rsidRPr="005B6E35" w14:paraId="50EA7EDF" w14:textId="77777777" w:rsidTr="00335046">
              <w:trPr>
                <w:trHeight w:val="28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7B9F31E" w14:textId="77777777" w:rsidR="005B6E35" w:rsidRPr="005B6E35" w:rsidRDefault="005B6E35" w:rsidP="005B6E35">
                  <w:pPr>
                    <w:rPr>
                      <w:rFonts w:ascii="Calibri" w:hAnsi="Calibri" w:cs="Calibri"/>
                      <w:b/>
                      <w:bCs/>
                      <w:color w:val="FF0000"/>
                      <w:sz w:val="28"/>
                      <w:szCs w:val="28"/>
                    </w:rPr>
                  </w:pPr>
                  <w:proofErr w:type="spellStart"/>
                  <w:r w:rsidRPr="005B6E35">
                    <w:rPr>
                      <w:rFonts w:ascii="Calibri" w:hAnsi="Calibri" w:cs="Calibri"/>
                      <w:b/>
                      <w:bCs/>
                      <w:color w:val="FF0000"/>
                      <w:sz w:val="28"/>
                      <w:szCs w:val="28"/>
                    </w:rPr>
                    <w:t>i</w:t>
                  </w:r>
                  <w:proofErr w:type="spellEnd"/>
                  <w:r w:rsidRPr="005B6E35">
                    <w:rPr>
                      <w:rFonts w:ascii="Calibri" w:hAnsi="Calibri" w:cs="Calibri"/>
                      <w:b/>
                      <w:bCs/>
                      <w:color w:val="FF0000"/>
                      <w:sz w:val="28"/>
                      <w:szCs w:val="28"/>
                    </w:rPr>
                    <w:t>.</w:t>
                  </w:r>
                </w:p>
              </w:tc>
              <w:tc>
                <w:tcPr>
                  <w:tcW w:w="1903" w:type="dxa"/>
                  <w:tcBorders>
                    <w:top w:val="nil"/>
                    <w:left w:val="nil"/>
                    <w:bottom w:val="single" w:sz="4" w:space="0" w:color="auto"/>
                    <w:right w:val="single" w:sz="4" w:space="0" w:color="auto"/>
                  </w:tcBorders>
                  <w:shd w:val="clear" w:color="auto" w:fill="auto"/>
                  <w:noWrap/>
                  <w:vAlign w:val="center"/>
                  <w:hideMark/>
                </w:tcPr>
                <w:p w14:paraId="13B0B492"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Hold Reason</w:t>
                  </w:r>
                </w:p>
              </w:tc>
              <w:tc>
                <w:tcPr>
                  <w:tcW w:w="7820" w:type="dxa"/>
                  <w:tcBorders>
                    <w:top w:val="nil"/>
                    <w:left w:val="nil"/>
                    <w:bottom w:val="single" w:sz="4" w:space="0" w:color="auto"/>
                    <w:right w:val="single" w:sz="4" w:space="0" w:color="auto"/>
                  </w:tcBorders>
                  <w:shd w:val="clear" w:color="auto" w:fill="auto"/>
                  <w:vAlign w:val="center"/>
                  <w:hideMark/>
                </w:tcPr>
                <w:p w14:paraId="7D0C0360" w14:textId="11B71A55"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Use this drop</w:t>
                  </w:r>
                  <w:r w:rsidR="00D477B1">
                    <w:rPr>
                      <w:rFonts w:ascii="Calibri" w:hAnsi="Calibri" w:cs="Calibri"/>
                      <w:color w:val="000000"/>
                      <w:sz w:val="18"/>
                      <w:szCs w:val="18"/>
                    </w:rPr>
                    <w:t>-</w:t>
                  </w:r>
                  <w:r w:rsidRPr="005B6E35">
                    <w:rPr>
                      <w:rFonts w:ascii="Calibri" w:hAnsi="Calibri" w:cs="Calibri"/>
                      <w:color w:val="000000"/>
                      <w:sz w:val="18"/>
                      <w:szCs w:val="18"/>
                    </w:rPr>
                    <w:t>down menu to select a reason for the 'Hold Payment' box being checked.</w:t>
                  </w:r>
                </w:p>
              </w:tc>
            </w:tr>
            <w:tr w:rsidR="005B6E35" w:rsidRPr="005B6E35" w14:paraId="5EE22CD8" w14:textId="77777777" w:rsidTr="00335046">
              <w:trPr>
                <w:trHeight w:val="1009"/>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F121ABC"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j.</w:t>
                  </w:r>
                </w:p>
              </w:tc>
              <w:tc>
                <w:tcPr>
                  <w:tcW w:w="1903" w:type="dxa"/>
                  <w:tcBorders>
                    <w:top w:val="nil"/>
                    <w:left w:val="nil"/>
                    <w:bottom w:val="single" w:sz="4" w:space="0" w:color="auto"/>
                    <w:right w:val="single" w:sz="4" w:space="0" w:color="auto"/>
                  </w:tcBorders>
                  <w:shd w:val="clear" w:color="auto" w:fill="auto"/>
                  <w:noWrap/>
                  <w:vAlign w:val="center"/>
                  <w:hideMark/>
                </w:tcPr>
                <w:p w14:paraId="04988374"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Separate Payment</w:t>
                  </w:r>
                </w:p>
              </w:tc>
              <w:tc>
                <w:tcPr>
                  <w:tcW w:w="7820" w:type="dxa"/>
                  <w:tcBorders>
                    <w:top w:val="nil"/>
                    <w:left w:val="nil"/>
                    <w:bottom w:val="single" w:sz="4" w:space="0" w:color="auto"/>
                    <w:right w:val="single" w:sz="4" w:space="0" w:color="auto"/>
                  </w:tcBorders>
                  <w:shd w:val="clear" w:color="auto" w:fill="auto"/>
                  <w:vAlign w:val="center"/>
                  <w:hideMark/>
                </w:tcPr>
                <w:p w14:paraId="69F7B4DB" w14:textId="4B2A69F1"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Check this box to make sure a separate payment is sent for this specific voucher. Leaving this box unchecked will allow payments from the same agency to be combined on one </w:t>
                  </w:r>
                  <w:r w:rsidR="00EF76C5">
                    <w:rPr>
                      <w:rFonts w:ascii="Calibri" w:hAnsi="Calibri" w:cs="Calibri"/>
                      <w:color w:val="000000"/>
                      <w:sz w:val="18"/>
                      <w:szCs w:val="18"/>
                    </w:rPr>
                    <w:t xml:space="preserve">CHK, </w:t>
                  </w:r>
                  <w:r w:rsidRPr="005B6E35">
                    <w:rPr>
                      <w:rFonts w:ascii="Calibri" w:hAnsi="Calibri" w:cs="Calibri"/>
                      <w:color w:val="000000"/>
                      <w:sz w:val="18"/>
                      <w:szCs w:val="18"/>
                    </w:rPr>
                    <w:t>ACH</w:t>
                  </w:r>
                  <w:r w:rsidR="00EF76C5">
                    <w:rPr>
                      <w:rFonts w:ascii="Calibri" w:hAnsi="Calibri" w:cs="Calibri"/>
                      <w:color w:val="000000"/>
                      <w:sz w:val="18"/>
                      <w:szCs w:val="18"/>
                    </w:rPr>
                    <w:t>, or GE</w:t>
                  </w:r>
                  <w:r w:rsidRPr="005B6E35">
                    <w:rPr>
                      <w:rFonts w:ascii="Calibri" w:hAnsi="Calibri" w:cs="Calibri"/>
                      <w:color w:val="000000"/>
                      <w:sz w:val="18"/>
                      <w:szCs w:val="18"/>
                    </w:rPr>
                    <w:t xml:space="preserve"> payment if the vouchers go through the same Pay Cycle and the Supplier, Location, Address, Method, and Handling settings on the Payments tab are matching on each voucher.</w:t>
                  </w:r>
                </w:p>
              </w:tc>
            </w:tr>
            <w:tr w:rsidR="005B6E35" w:rsidRPr="005B6E35" w14:paraId="67BF8B0F" w14:textId="77777777" w:rsidTr="0033504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5DF3AE7"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k.</w:t>
                  </w:r>
                </w:p>
              </w:tc>
              <w:tc>
                <w:tcPr>
                  <w:tcW w:w="1903" w:type="dxa"/>
                  <w:tcBorders>
                    <w:top w:val="nil"/>
                    <w:left w:val="nil"/>
                    <w:bottom w:val="single" w:sz="4" w:space="0" w:color="auto"/>
                    <w:right w:val="single" w:sz="4" w:space="0" w:color="auto"/>
                  </w:tcBorders>
                  <w:shd w:val="clear" w:color="auto" w:fill="auto"/>
                  <w:noWrap/>
                  <w:vAlign w:val="center"/>
                  <w:hideMark/>
                </w:tcPr>
                <w:p w14:paraId="7FE380FD"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Message</w:t>
                  </w:r>
                </w:p>
              </w:tc>
              <w:tc>
                <w:tcPr>
                  <w:tcW w:w="7820" w:type="dxa"/>
                  <w:tcBorders>
                    <w:top w:val="nil"/>
                    <w:left w:val="nil"/>
                    <w:bottom w:val="single" w:sz="4" w:space="0" w:color="auto"/>
                    <w:right w:val="single" w:sz="4" w:space="0" w:color="auto"/>
                  </w:tcBorders>
                  <w:shd w:val="clear" w:color="auto" w:fill="auto"/>
                  <w:vAlign w:val="center"/>
                  <w:hideMark/>
                </w:tcPr>
                <w:p w14:paraId="55D85847" w14:textId="35031C13"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Enter any information in this field that will help the Supplier apply the payment.</w:t>
                  </w:r>
                  <w:r w:rsidR="008B3C22">
                    <w:rPr>
                      <w:rFonts w:ascii="Calibri" w:hAnsi="Calibri" w:cs="Calibri"/>
                      <w:color w:val="000000"/>
                      <w:sz w:val="18"/>
                      <w:szCs w:val="18"/>
                    </w:rPr>
                    <w:t xml:space="preserve"> This field will hold up to 70 characters.</w:t>
                  </w:r>
                </w:p>
              </w:tc>
            </w:tr>
          </w:tbl>
          <w:p w14:paraId="5901DDD4" w14:textId="77777777" w:rsidR="00240C9E" w:rsidRDefault="00240C9E" w:rsidP="007A54F1">
            <w:pPr>
              <w:rPr>
                <w:rFonts w:ascii="Arial" w:hAnsi="Arial" w:cs="Arial"/>
                <w:b/>
                <w:noProof/>
              </w:rPr>
            </w:pPr>
          </w:p>
          <w:p w14:paraId="573C7314" w14:textId="7C2191E5" w:rsidR="006E7A32" w:rsidRPr="00FE3C00" w:rsidRDefault="00D571BF" w:rsidP="007A54F1">
            <w:pPr>
              <w:rPr>
                <w:rFonts w:asciiTheme="minorHAnsi" w:hAnsiTheme="minorHAnsi" w:cs="Arial"/>
                <w:noProof/>
                <w:color w:val="000000"/>
                <w:sz w:val="16"/>
                <w:szCs w:val="16"/>
              </w:rPr>
            </w:pPr>
            <w:r w:rsidRPr="00D571BF">
              <w:rPr>
                <w:rFonts w:ascii="Arial" w:hAnsi="Arial" w:cs="Arial"/>
                <w:b/>
                <w:noProof/>
              </w:rPr>
              <w:t>4.</w:t>
            </w:r>
            <w:r>
              <w:rPr>
                <w:rFonts w:asciiTheme="minorHAnsi" w:hAnsiTheme="minorHAnsi" w:cs="Arial"/>
                <w:noProof/>
                <w:color w:val="000000"/>
                <w:sz w:val="22"/>
                <w:szCs w:val="22"/>
              </w:rPr>
              <w:t xml:space="preserve"> </w:t>
            </w:r>
            <w:r w:rsidR="00FE3C00" w:rsidRPr="00D571BF">
              <w:rPr>
                <w:rFonts w:asciiTheme="minorHAnsi" w:hAnsiTheme="minorHAnsi" w:cs="Arial"/>
                <w:b/>
                <w:noProof/>
                <w:color w:val="000000"/>
                <w:sz w:val="22"/>
                <w:szCs w:val="22"/>
              </w:rPr>
              <w:t xml:space="preserve">Once all fields are completed, </w:t>
            </w:r>
            <w:r w:rsidR="00D27E5A">
              <w:rPr>
                <w:rFonts w:asciiTheme="minorHAnsi" w:hAnsiTheme="minorHAnsi" w:cs="Arial"/>
                <w:b/>
                <w:noProof/>
                <w:color w:val="000000"/>
                <w:sz w:val="22"/>
                <w:szCs w:val="22"/>
              </w:rPr>
              <w:t>s</w:t>
            </w:r>
            <w:r w:rsidR="00FE3C00" w:rsidRPr="003716E0">
              <w:rPr>
                <w:rFonts w:asciiTheme="minorHAnsi" w:hAnsiTheme="minorHAnsi" w:cs="Arial"/>
                <w:b/>
                <w:noProof/>
                <w:color w:val="000000"/>
                <w:sz w:val="22"/>
                <w:szCs w:val="22"/>
              </w:rPr>
              <w:t>ave</w:t>
            </w:r>
            <w:r w:rsidR="00FE3C00" w:rsidRPr="00D571BF">
              <w:rPr>
                <w:rFonts w:asciiTheme="minorHAnsi" w:hAnsiTheme="minorHAnsi" w:cs="Arial"/>
                <w:b/>
                <w:noProof/>
                <w:color w:val="000000"/>
                <w:sz w:val="22"/>
                <w:szCs w:val="22"/>
              </w:rPr>
              <w:t xml:space="preserve"> the voucher.</w:t>
            </w:r>
          </w:p>
        </w:tc>
      </w:tr>
      <w:tr w:rsidR="00A25A43" w:rsidRPr="009063D6" w14:paraId="1F751B26" w14:textId="77777777" w:rsidTr="00335046">
        <w:trPr>
          <w:trHeight w:val="13561"/>
        </w:trPr>
        <w:tc>
          <w:tcPr>
            <w:tcW w:w="10566" w:type="dxa"/>
          </w:tcPr>
          <w:p w14:paraId="68E69537" w14:textId="153F9819" w:rsidR="009A3040" w:rsidRPr="00335046" w:rsidRDefault="00335046" w:rsidP="00335046">
            <w:pPr>
              <w:jc w:val="center"/>
              <w:rPr>
                <w:rFonts w:asciiTheme="minorHAnsi" w:hAnsiTheme="minorHAnsi" w:cs="Arial"/>
                <w:b/>
                <w:noProof/>
                <w:color w:val="000000"/>
                <w:sz w:val="28"/>
                <w:szCs w:val="28"/>
              </w:rPr>
            </w:pPr>
            <w:r w:rsidRPr="00335046">
              <w:rPr>
                <w:rFonts w:asciiTheme="minorHAnsi" w:hAnsiTheme="minorHAnsi" w:cs="Arial"/>
                <w:b/>
                <w:noProof/>
                <w:color w:val="000000"/>
                <w:sz w:val="28"/>
                <w:szCs w:val="28"/>
              </w:rPr>
              <w:lastRenderedPageBreak/>
              <w:t>Voucher Style Table</w:t>
            </w:r>
          </w:p>
          <w:tbl>
            <w:tblPr>
              <w:tblW w:w="10082" w:type="dxa"/>
              <w:tblInd w:w="1" w:type="dxa"/>
              <w:tblLayout w:type="fixed"/>
              <w:tblLook w:val="04A0" w:firstRow="1" w:lastRow="0" w:firstColumn="1" w:lastColumn="0" w:noHBand="0" w:noVBand="1"/>
            </w:tblPr>
            <w:tblGrid>
              <w:gridCol w:w="1797"/>
              <w:gridCol w:w="8285"/>
            </w:tblGrid>
            <w:tr w:rsidR="009A3040" w:rsidRPr="009A3040" w14:paraId="359C9B82" w14:textId="77777777" w:rsidTr="00335046">
              <w:trPr>
                <w:trHeight w:val="30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89CD" w14:textId="77777777" w:rsidR="009A3040" w:rsidRPr="009A3040" w:rsidRDefault="009A3040" w:rsidP="009A3040">
                  <w:pPr>
                    <w:rPr>
                      <w:rFonts w:ascii="Calibri" w:hAnsi="Calibri" w:cs="Calibri"/>
                      <w:b/>
                      <w:bCs/>
                      <w:color w:val="000000"/>
                      <w:sz w:val="22"/>
                      <w:szCs w:val="22"/>
                    </w:rPr>
                  </w:pPr>
                  <w:r w:rsidRPr="009A3040">
                    <w:rPr>
                      <w:rFonts w:ascii="Calibri" w:hAnsi="Calibri" w:cs="Calibri"/>
                      <w:b/>
                      <w:bCs/>
                      <w:color w:val="000000"/>
                      <w:sz w:val="22"/>
                      <w:szCs w:val="22"/>
                    </w:rPr>
                    <w:t>Voucher Style</w:t>
                  </w:r>
                </w:p>
              </w:tc>
              <w:tc>
                <w:tcPr>
                  <w:tcW w:w="8285" w:type="dxa"/>
                  <w:tcBorders>
                    <w:top w:val="single" w:sz="4" w:space="0" w:color="auto"/>
                    <w:left w:val="nil"/>
                    <w:bottom w:val="single" w:sz="4" w:space="0" w:color="auto"/>
                    <w:right w:val="single" w:sz="4" w:space="0" w:color="auto"/>
                  </w:tcBorders>
                  <w:shd w:val="clear" w:color="auto" w:fill="auto"/>
                  <w:noWrap/>
                  <w:vAlign w:val="bottom"/>
                  <w:hideMark/>
                </w:tcPr>
                <w:p w14:paraId="3D565F8E" w14:textId="77777777" w:rsidR="009A3040" w:rsidRPr="009A3040" w:rsidRDefault="009A3040" w:rsidP="009A3040">
                  <w:pPr>
                    <w:rPr>
                      <w:rFonts w:ascii="Calibri" w:hAnsi="Calibri" w:cs="Calibri"/>
                      <w:b/>
                      <w:bCs/>
                      <w:color w:val="000000"/>
                      <w:sz w:val="22"/>
                      <w:szCs w:val="22"/>
                    </w:rPr>
                  </w:pPr>
                  <w:r w:rsidRPr="009A3040">
                    <w:rPr>
                      <w:rFonts w:ascii="Calibri" w:hAnsi="Calibri" w:cs="Calibri"/>
                      <w:b/>
                      <w:bCs/>
                      <w:color w:val="000000"/>
                      <w:sz w:val="22"/>
                      <w:szCs w:val="22"/>
                    </w:rPr>
                    <w:t>Definition</w:t>
                  </w:r>
                </w:p>
              </w:tc>
            </w:tr>
            <w:tr w:rsidR="009A3040" w:rsidRPr="009A3040" w14:paraId="5C0F5199" w14:textId="77777777" w:rsidTr="00335046">
              <w:trPr>
                <w:trHeight w:val="1192"/>
              </w:trPr>
              <w:tc>
                <w:tcPr>
                  <w:tcW w:w="1797" w:type="dxa"/>
                  <w:vMerge w:val="restart"/>
                  <w:tcBorders>
                    <w:top w:val="nil"/>
                    <w:left w:val="single" w:sz="4" w:space="0" w:color="auto"/>
                    <w:bottom w:val="nil"/>
                    <w:right w:val="single" w:sz="4" w:space="0" w:color="auto"/>
                  </w:tcBorders>
                  <w:shd w:val="clear" w:color="auto" w:fill="auto"/>
                  <w:noWrap/>
                  <w:vAlign w:val="center"/>
                  <w:hideMark/>
                </w:tcPr>
                <w:p w14:paraId="5406AAA9"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Adjustments</w:t>
                  </w:r>
                </w:p>
              </w:tc>
              <w:tc>
                <w:tcPr>
                  <w:tcW w:w="8285" w:type="dxa"/>
                  <w:tcBorders>
                    <w:top w:val="nil"/>
                    <w:left w:val="nil"/>
                    <w:bottom w:val="nil"/>
                    <w:right w:val="single" w:sz="4" w:space="0" w:color="auto"/>
                  </w:tcBorders>
                  <w:shd w:val="clear" w:color="auto" w:fill="auto"/>
                  <w:vAlign w:val="bottom"/>
                  <w:hideMark/>
                </w:tcPr>
                <w:p w14:paraId="1ECDE678"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for entering a credit or debit memo. Also used for relating one voucher to another voucher. To link a source voucher to the Adjustment Voucher, use the Copy </w:t>
                  </w:r>
                  <w:proofErr w:type="gramStart"/>
                  <w:r w:rsidRPr="009A3040">
                    <w:rPr>
                      <w:rFonts w:ascii="Calibri" w:hAnsi="Calibri" w:cs="Calibri"/>
                      <w:color w:val="000000"/>
                      <w:sz w:val="20"/>
                      <w:szCs w:val="20"/>
                    </w:rPr>
                    <w:t>From</w:t>
                  </w:r>
                  <w:proofErr w:type="gramEnd"/>
                  <w:r w:rsidRPr="009A3040">
                    <w:rPr>
                      <w:rFonts w:ascii="Calibri" w:hAnsi="Calibri" w:cs="Calibri"/>
                      <w:color w:val="000000"/>
                      <w:sz w:val="20"/>
                      <w:szCs w:val="20"/>
                    </w:rPr>
                    <w:t xml:space="preserve"> Source Document section on the Invoice Information page. Click the 'Copy </w:t>
                  </w:r>
                  <w:proofErr w:type="gramStart"/>
                  <w:r w:rsidRPr="009A3040">
                    <w:rPr>
                      <w:rFonts w:ascii="Calibri" w:hAnsi="Calibri" w:cs="Calibri"/>
                      <w:color w:val="000000"/>
                      <w:sz w:val="20"/>
                      <w:szCs w:val="20"/>
                    </w:rPr>
                    <w:t>From</w:t>
                  </w:r>
                  <w:proofErr w:type="gramEnd"/>
                  <w:r w:rsidRPr="009A3040">
                    <w:rPr>
                      <w:rFonts w:ascii="Calibri" w:hAnsi="Calibri" w:cs="Calibri"/>
                      <w:color w:val="000000"/>
                      <w:sz w:val="20"/>
                      <w:szCs w:val="20"/>
                    </w:rPr>
                    <w:t xml:space="preserve"> Worksheet' hyperlink to associate individual lines from a source voucher. Multiple vouchers can be associated to one Adjustment voucher </w:t>
                  </w:r>
                  <w:proofErr w:type="gramStart"/>
                  <w:r w:rsidRPr="009A3040">
                    <w:rPr>
                      <w:rFonts w:ascii="Calibri" w:hAnsi="Calibri" w:cs="Calibri"/>
                      <w:color w:val="000000"/>
                      <w:sz w:val="20"/>
                      <w:szCs w:val="20"/>
                    </w:rPr>
                    <w:t>as long as</w:t>
                  </w:r>
                  <w:proofErr w:type="gramEnd"/>
                  <w:r w:rsidRPr="009A3040">
                    <w:rPr>
                      <w:rFonts w:ascii="Calibri" w:hAnsi="Calibri" w:cs="Calibri"/>
                      <w:color w:val="000000"/>
                      <w:sz w:val="20"/>
                      <w:szCs w:val="20"/>
                    </w:rPr>
                    <w:t xml:space="preserve"> they all use the same supplier ID.</w:t>
                  </w:r>
                </w:p>
              </w:tc>
            </w:tr>
            <w:tr w:rsidR="009A3040" w:rsidRPr="009A3040" w14:paraId="3FB35483" w14:textId="77777777" w:rsidTr="00335046">
              <w:trPr>
                <w:trHeight w:val="1295"/>
              </w:trPr>
              <w:tc>
                <w:tcPr>
                  <w:tcW w:w="1797" w:type="dxa"/>
                  <w:vMerge/>
                  <w:tcBorders>
                    <w:top w:val="nil"/>
                    <w:left w:val="single" w:sz="4" w:space="0" w:color="auto"/>
                    <w:bottom w:val="nil"/>
                    <w:right w:val="single" w:sz="4" w:space="0" w:color="auto"/>
                  </w:tcBorders>
                  <w:vAlign w:val="center"/>
                  <w:hideMark/>
                </w:tcPr>
                <w:p w14:paraId="52BA49C6"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bottom"/>
                  <w:hideMark/>
                </w:tcPr>
                <w:p w14:paraId="4FAD200C"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A negative Adjustment voucher will not pay and finish processing until there is a zero dollar or positive balance, based on Business Unit/Supplier combination. The negative and positive vouchers must have the following fields matching </w:t>
                  </w:r>
                  <w:proofErr w:type="gramStart"/>
                  <w:r w:rsidRPr="009A3040">
                    <w:rPr>
                      <w:rFonts w:ascii="Calibri" w:hAnsi="Calibri" w:cs="Calibri"/>
                      <w:color w:val="000000"/>
                      <w:sz w:val="20"/>
                      <w:szCs w:val="20"/>
                    </w:rPr>
                    <w:t>in order for</w:t>
                  </w:r>
                  <w:proofErr w:type="gramEnd"/>
                  <w:r w:rsidRPr="009A3040">
                    <w:rPr>
                      <w:rFonts w:ascii="Calibri" w:hAnsi="Calibri" w:cs="Calibri"/>
                      <w:color w:val="000000"/>
                      <w:sz w:val="20"/>
                      <w:szCs w:val="20"/>
                    </w:rPr>
                    <w:t xml:space="preserve"> them to process together:  Business Unit, Remit Supplier ID, Location, Address, Method, and Handling. Also, the Separate Payment box must </w:t>
                  </w:r>
                  <w:r w:rsidRPr="009A3040">
                    <w:rPr>
                      <w:rFonts w:ascii="Calibri" w:hAnsi="Calibri" w:cs="Calibri"/>
                      <w:b/>
                      <w:bCs/>
                      <w:i/>
                      <w:iCs/>
                      <w:color w:val="000000"/>
                      <w:sz w:val="20"/>
                      <w:szCs w:val="20"/>
                    </w:rPr>
                    <w:t xml:space="preserve">NOT </w:t>
                  </w:r>
                  <w:r w:rsidRPr="009A3040">
                    <w:rPr>
                      <w:rFonts w:ascii="Calibri" w:hAnsi="Calibri" w:cs="Calibri"/>
                      <w:color w:val="000000"/>
                      <w:sz w:val="20"/>
                      <w:szCs w:val="20"/>
                    </w:rPr>
                    <w:t>be checked on either voucher.</w:t>
                  </w:r>
                </w:p>
              </w:tc>
            </w:tr>
            <w:tr w:rsidR="009A3040" w:rsidRPr="009A3040" w14:paraId="597E4953" w14:textId="77777777" w:rsidTr="00335046">
              <w:trPr>
                <w:trHeight w:val="527"/>
              </w:trPr>
              <w:tc>
                <w:tcPr>
                  <w:tcW w:w="1797" w:type="dxa"/>
                  <w:vMerge/>
                  <w:tcBorders>
                    <w:top w:val="nil"/>
                    <w:left w:val="single" w:sz="4" w:space="0" w:color="auto"/>
                    <w:bottom w:val="nil"/>
                    <w:right w:val="single" w:sz="4" w:space="0" w:color="auto"/>
                  </w:tcBorders>
                  <w:vAlign w:val="center"/>
                  <w:hideMark/>
                </w:tcPr>
                <w:p w14:paraId="5DBDEB7F"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5A005308"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Source vouchers are Regular vouchers and must have the same business unit and supplier ID as the adjustment being created.</w:t>
                  </w:r>
                </w:p>
              </w:tc>
            </w:tr>
            <w:tr w:rsidR="009A3040" w:rsidRPr="009A3040" w14:paraId="7E58B0B9" w14:textId="77777777" w:rsidTr="00335046">
              <w:trPr>
                <w:trHeight w:val="1039"/>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D2D0"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Journal</w:t>
                  </w:r>
                </w:p>
              </w:tc>
              <w:tc>
                <w:tcPr>
                  <w:tcW w:w="8285" w:type="dxa"/>
                  <w:tcBorders>
                    <w:top w:val="nil"/>
                    <w:left w:val="nil"/>
                    <w:bottom w:val="single" w:sz="4" w:space="0" w:color="auto"/>
                    <w:right w:val="single" w:sz="4" w:space="0" w:color="auto"/>
                  </w:tcBorders>
                  <w:shd w:val="clear" w:color="auto" w:fill="auto"/>
                  <w:vAlign w:val="bottom"/>
                  <w:hideMark/>
                </w:tcPr>
                <w:p w14:paraId="2BD7515A" w14:textId="4328788C"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for correcting accounting entries on a posted or paid voucher. Source documents cannot be copied into journal vouchers. To link the journal voucher to the voucher that is being adjusted, use the Related Voucher field on the Invoice Information tab. The </w:t>
                  </w:r>
                  <w:r w:rsidR="00B91A91">
                    <w:rPr>
                      <w:rFonts w:ascii="Calibri" w:hAnsi="Calibri" w:cs="Calibri"/>
                      <w:color w:val="000000"/>
                      <w:sz w:val="20"/>
                      <w:szCs w:val="20"/>
                    </w:rPr>
                    <w:t>Invoice Total</w:t>
                  </w:r>
                  <w:r w:rsidRPr="009A3040">
                    <w:rPr>
                      <w:rFonts w:ascii="Calibri" w:hAnsi="Calibri" w:cs="Calibri"/>
                      <w:color w:val="000000"/>
                      <w:sz w:val="20"/>
                      <w:szCs w:val="20"/>
                    </w:rPr>
                    <w:t xml:space="preserve"> of the journal voucher must be $0.00. </w:t>
                  </w:r>
                </w:p>
              </w:tc>
            </w:tr>
            <w:tr w:rsidR="009A3040" w:rsidRPr="009A3040" w14:paraId="00C75242" w14:textId="77777777" w:rsidTr="00335046">
              <w:trPr>
                <w:trHeight w:val="512"/>
              </w:trPr>
              <w:tc>
                <w:tcPr>
                  <w:tcW w:w="17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0B0E7"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Regular</w:t>
                  </w:r>
                </w:p>
              </w:tc>
              <w:tc>
                <w:tcPr>
                  <w:tcW w:w="8285" w:type="dxa"/>
                  <w:tcBorders>
                    <w:top w:val="nil"/>
                    <w:left w:val="nil"/>
                    <w:bottom w:val="nil"/>
                    <w:right w:val="single" w:sz="4" w:space="0" w:color="auto"/>
                  </w:tcBorders>
                  <w:shd w:val="clear" w:color="auto" w:fill="auto"/>
                  <w:vAlign w:val="center"/>
                  <w:hideMark/>
                </w:tcPr>
                <w:p w14:paraId="030F65F6"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for entering vouchers that are purchase order and non-purchase order related vouchers. This is the default setting in SMART. </w:t>
                  </w:r>
                </w:p>
              </w:tc>
            </w:tr>
            <w:tr w:rsidR="009A3040" w:rsidRPr="009A3040" w14:paraId="4045200D" w14:textId="77777777" w:rsidTr="00335046">
              <w:trPr>
                <w:trHeight w:val="278"/>
              </w:trPr>
              <w:tc>
                <w:tcPr>
                  <w:tcW w:w="1797" w:type="dxa"/>
                  <w:vMerge/>
                  <w:tcBorders>
                    <w:top w:val="nil"/>
                    <w:left w:val="single" w:sz="4" w:space="0" w:color="auto"/>
                    <w:bottom w:val="single" w:sz="4" w:space="0" w:color="000000"/>
                    <w:right w:val="single" w:sz="4" w:space="0" w:color="auto"/>
                  </w:tcBorders>
                  <w:vAlign w:val="center"/>
                  <w:hideMark/>
                </w:tcPr>
                <w:p w14:paraId="79AB50D1"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center"/>
                  <w:hideMark/>
                </w:tcPr>
                <w:p w14:paraId="3C486485" w14:textId="77777777" w:rsidR="009A3040" w:rsidRPr="009A3040" w:rsidRDefault="009A3040" w:rsidP="009A3040">
                  <w:pPr>
                    <w:rPr>
                      <w:rFonts w:ascii="Calibri" w:hAnsi="Calibri" w:cs="Calibri"/>
                      <w:b/>
                      <w:bCs/>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 xml:space="preserve">Setoff Credit Memos are Regular Style vouchers with a negative amount. </w:t>
                  </w:r>
                </w:p>
              </w:tc>
            </w:tr>
            <w:tr w:rsidR="009A3040" w:rsidRPr="009A3040" w14:paraId="55FE52ED" w14:textId="77777777" w:rsidTr="00335046">
              <w:trPr>
                <w:trHeight w:val="782"/>
              </w:trPr>
              <w:tc>
                <w:tcPr>
                  <w:tcW w:w="1797" w:type="dxa"/>
                  <w:vMerge/>
                  <w:tcBorders>
                    <w:top w:val="nil"/>
                    <w:left w:val="single" w:sz="4" w:space="0" w:color="auto"/>
                    <w:bottom w:val="single" w:sz="4" w:space="0" w:color="000000"/>
                    <w:right w:val="single" w:sz="4" w:space="0" w:color="auto"/>
                  </w:tcBorders>
                  <w:vAlign w:val="center"/>
                  <w:hideMark/>
                </w:tcPr>
                <w:p w14:paraId="36EB757B"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0206B299"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Interfund type vouchers are Regular Style vouchers with unique origin codes ('I' or 'R'). They must be attached to an interfund and there must be a reciprocating deposit attached to the same interfund </w:t>
                  </w:r>
                  <w:proofErr w:type="gramStart"/>
                  <w:r w:rsidRPr="009A3040">
                    <w:rPr>
                      <w:rFonts w:ascii="Calibri" w:hAnsi="Calibri" w:cs="Calibri"/>
                      <w:color w:val="000000"/>
                      <w:sz w:val="20"/>
                      <w:szCs w:val="20"/>
                    </w:rPr>
                    <w:t>in order for</w:t>
                  </w:r>
                  <w:proofErr w:type="gramEnd"/>
                  <w:r w:rsidRPr="009A3040">
                    <w:rPr>
                      <w:rFonts w:ascii="Calibri" w:hAnsi="Calibri" w:cs="Calibri"/>
                      <w:color w:val="000000"/>
                      <w:sz w:val="20"/>
                      <w:szCs w:val="20"/>
                    </w:rPr>
                    <w:t xml:space="preserve"> them to pay and finish processing.</w:t>
                  </w:r>
                </w:p>
              </w:tc>
            </w:tr>
            <w:tr w:rsidR="009A3040" w:rsidRPr="009A3040" w14:paraId="1DE4C87C" w14:textId="77777777" w:rsidTr="00335046">
              <w:trPr>
                <w:trHeight w:val="820"/>
              </w:trPr>
              <w:tc>
                <w:tcPr>
                  <w:tcW w:w="17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0228C"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Reversal</w:t>
                  </w:r>
                </w:p>
              </w:tc>
              <w:tc>
                <w:tcPr>
                  <w:tcW w:w="8285" w:type="dxa"/>
                  <w:tcBorders>
                    <w:top w:val="nil"/>
                    <w:left w:val="nil"/>
                    <w:bottom w:val="nil"/>
                    <w:right w:val="single" w:sz="4" w:space="0" w:color="auto"/>
                  </w:tcBorders>
                  <w:shd w:val="clear" w:color="auto" w:fill="auto"/>
                  <w:vAlign w:val="center"/>
                  <w:hideMark/>
                </w:tcPr>
                <w:p w14:paraId="1DFA142D"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to undo a transaction, including backing out incorrect vouchers, restoring the encumbrance for actuals and budgets, and reducing the purchase order’s matched quantity or amount. Reversal vouchers are always credit vouchers and all voucher lines that reference a purchase order must be less than zero. </w:t>
                  </w:r>
                </w:p>
              </w:tc>
            </w:tr>
            <w:tr w:rsidR="009A3040" w:rsidRPr="009A3040" w14:paraId="0FD4A35D" w14:textId="77777777" w:rsidTr="00335046">
              <w:trPr>
                <w:trHeight w:val="1295"/>
              </w:trPr>
              <w:tc>
                <w:tcPr>
                  <w:tcW w:w="1797" w:type="dxa"/>
                  <w:vMerge/>
                  <w:tcBorders>
                    <w:top w:val="nil"/>
                    <w:left w:val="single" w:sz="4" w:space="0" w:color="auto"/>
                    <w:bottom w:val="single" w:sz="4" w:space="0" w:color="000000"/>
                    <w:right w:val="single" w:sz="4" w:space="0" w:color="auto"/>
                  </w:tcBorders>
                  <w:vAlign w:val="center"/>
                  <w:hideMark/>
                </w:tcPr>
                <w:p w14:paraId="6CEBF11F"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bottom"/>
                  <w:hideMark/>
                </w:tcPr>
                <w:p w14:paraId="328E1551"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The reversal voucher will not pay and finish processing until there is a zero dollar or positive balance, based on Business Unit/Supplier combination. The Reversal voucher and source voucher must have the following fields matching </w:t>
                  </w:r>
                  <w:proofErr w:type="gramStart"/>
                  <w:r w:rsidRPr="009A3040">
                    <w:rPr>
                      <w:rFonts w:ascii="Calibri" w:hAnsi="Calibri" w:cs="Calibri"/>
                      <w:color w:val="000000"/>
                      <w:sz w:val="20"/>
                      <w:szCs w:val="20"/>
                    </w:rPr>
                    <w:t>in order for</w:t>
                  </w:r>
                  <w:proofErr w:type="gramEnd"/>
                  <w:r w:rsidRPr="009A3040">
                    <w:rPr>
                      <w:rFonts w:ascii="Calibri" w:hAnsi="Calibri" w:cs="Calibri"/>
                      <w:color w:val="000000"/>
                      <w:sz w:val="20"/>
                      <w:szCs w:val="20"/>
                    </w:rPr>
                    <w:t xml:space="preserve"> them to process together:  Business Unit, Remit Supplier ID, Location, Address, Method, and Handling. Also, the Separate Payment box must </w:t>
                  </w:r>
                  <w:r w:rsidRPr="009A3040">
                    <w:rPr>
                      <w:rFonts w:ascii="Calibri" w:hAnsi="Calibri" w:cs="Calibri"/>
                      <w:b/>
                      <w:bCs/>
                      <w:i/>
                      <w:iCs/>
                      <w:color w:val="000000"/>
                      <w:sz w:val="20"/>
                      <w:szCs w:val="20"/>
                    </w:rPr>
                    <w:t>NOT</w:t>
                  </w:r>
                  <w:r w:rsidRPr="009A3040">
                    <w:rPr>
                      <w:rFonts w:ascii="Calibri" w:hAnsi="Calibri" w:cs="Calibri"/>
                      <w:color w:val="000000"/>
                      <w:sz w:val="20"/>
                      <w:szCs w:val="20"/>
                    </w:rPr>
                    <w:t xml:space="preserve"> be checked on either voucher.</w:t>
                  </w:r>
                </w:p>
              </w:tc>
            </w:tr>
            <w:tr w:rsidR="009A3040" w:rsidRPr="009A3040" w14:paraId="434AC0CB" w14:textId="77777777" w:rsidTr="00335046">
              <w:trPr>
                <w:trHeight w:val="527"/>
              </w:trPr>
              <w:tc>
                <w:tcPr>
                  <w:tcW w:w="1797" w:type="dxa"/>
                  <w:vMerge/>
                  <w:tcBorders>
                    <w:top w:val="nil"/>
                    <w:left w:val="single" w:sz="4" w:space="0" w:color="auto"/>
                    <w:bottom w:val="single" w:sz="4" w:space="0" w:color="000000"/>
                    <w:right w:val="single" w:sz="4" w:space="0" w:color="auto"/>
                  </w:tcBorders>
                  <w:vAlign w:val="center"/>
                  <w:hideMark/>
                </w:tcPr>
                <w:p w14:paraId="6B8BDF94"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700D24D4"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Source vouchers are Regular vouchers and must have the same business unit and supplier ID as the reversal being created.</w:t>
                  </w:r>
                </w:p>
              </w:tc>
            </w:tr>
            <w:tr w:rsidR="009A3040" w:rsidRPr="009A3040" w14:paraId="0497817D" w14:textId="77777777" w:rsidTr="00335046">
              <w:trPr>
                <w:trHeight w:val="965"/>
              </w:trPr>
              <w:tc>
                <w:tcPr>
                  <w:tcW w:w="1797" w:type="dxa"/>
                  <w:vMerge w:val="restart"/>
                  <w:tcBorders>
                    <w:top w:val="nil"/>
                    <w:left w:val="single" w:sz="4" w:space="0" w:color="auto"/>
                    <w:bottom w:val="single" w:sz="4" w:space="0" w:color="000000"/>
                    <w:right w:val="single" w:sz="4" w:space="0" w:color="auto"/>
                  </w:tcBorders>
                  <w:shd w:val="clear" w:color="auto" w:fill="auto"/>
                  <w:vAlign w:val="center"/>
                  <w:hideMark/>
                </w:tcPr>
                <w:p w14:paraId="25D2F541"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Single Payment</w:t>
                  </w:r>
                </w:p>
              </w:tc>
              <w:tc>
                <w:tcPr>
                  <w:tcW w:w="8285" w:type="dxa"/>
                  <w:tcBorders>
                    <w:top w:val="nil"/>
                    <w:left w:val="nil"/>
                    <w:bottom w:val="nil"/>
                    <w:right w:val="single" w:sz="4" w:space="0" w:color="auto"/>
                  </w:tcBorders>
                  <w:shd w:val="clear" w:color="auto" w:fill="auto"/>
                  <w:vAlign w:val="center"/>
                  <w:hideMark/>
                </w:tcPr>
                <w:p w14:paraId="2917795C"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Used for entering a voucher that does not have a supplier ID tied to it. This type of voucher is created for a payment to a one-time supplier, such as a rebate or refund recipient. This is an exception to the normal process since most vouchers should be regular vouchers which have supplier IDs tied to them.</w:t>
                  </w:r>
                </w:p>
              </w:tc>
            </w:tr>
            <w:tr w:rsidR="009A3040" w:rsidRPr="009A3040" w14:paraId="14B14F45" w14:textId="77777777" w:rsidTr="00335046">
              <w:trPr>
                <w:trHeight w:val="782"/>
              </w:trPr>
              <w:tc>
                <w:tcPr>
                  <w:tcW w:w="1797" w:type="dxa"/>
                  <w:vMerge/>
                  <w:tcBorders>
                    <w:top w:val="nil"/>
                    <w:left w:val="single" w:sz="4" w:space="0" w:color="auto"/>
                    <w:bottom w:val="single" w:sz="4" w:space="0" w:color="000000"/>
                    <w:right w:val="single" w:sz="4" w:space="0" w:color="auto"/>
                  </w:tcBorders>
                  <w:vAlign w:val="center"/>
                  <w:hideMark/>
                </w:tcPr>
                <w:p w14:paraId="434F3B54"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bottom"/>
                  <w:hideMark/>
                </w:tcPr>
                <w:p w14:paraId="51A3D1B8"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In the SMART supplier file, there will be a generic Single Payment supplier ID. The remaining supplier-identifying information, such as name, address, and bank information, is added directly on the voucher during creation.</w:t>
                  </w:r>
                </w:p>
              </w:tc>
            </w:tr>
            <w:tr w:rsidR="009A3040" w:rsidRPr="009A3040" w14:paraId="208227FC" w14:textId="77777777" w:rsidTr="00335046">
              <w:trPr>
                <w:trHeight w:val="527"/>
              </w:trPr>
              <w:tc>
                <w:tcPr>
                  <w:tcW w:w="1797" w:type="dxa"/>
                  <w:vMerge/>
                  <w:tcBorders>
                    <w:top w:val="nil"/>
                    <w:left w:val="single" w:sz="4" w:space="0" w:color="auto"/>
                    <w:bottom w:val="single" w:sz="4" w:space="0" w:color="000000"/>
                    <w:right w:val="single" w:sz="4" w:space="0" w:color="auto"/>
                  </w:tcBorders>
                  <w:vAlign w:val="center"/>
                  <w:hideMark/>
                </w:tcPr>
                <w:p w14:paraId="713AD238"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789FAB79"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 xml:space="preserve"> If the supplier is an existing supplier in SMART or the payment is 1099 Reportable, do </w:t>
                  </w:r>
                  <w:r w:rsidRPr="009A3040">
                    <w:rPr>
                      <w:rFonts w:ascii="Calibri" w:hAnsi="Calibri" w:cs="Calibri"/>
                      <w:b/>
                      <w:bCs/>
                      <w:i/>
                      <w:iCs/>
                      <w:color w:val="000000"/>
                      <w:sz w:val="20"/>
                      <w:szCs w:val="20"/>
                    </w:rPr>
                    <w:t>NOT</w:t>
                  </w:r>
                  <w:r w:rsidRPr="009A3040">
                    <w:rPr>
                      <w:rFonts w:ascii="Calibri" w:hAnsi="Calibri" w:cs="Calibri"/>
                      <w:color w:val="000000"/>
                      <w:sz w:val="20"/>
                      <w:szCs w:val="20"/>
                    </w:rPr>
                    <w:t xml:space="preserve"> use this voucher style. Create a Regular voucher instead.</w:t>
                  </w:r>
                </w:p>
              </w:tc>
            </w:tr>
            <w:tr w:rsidR="009A3040" w:rsidRPr="009A3040" w14:paraId="7688AF29" w14:textId="77777777" w:rsidTr="00335046">
              <w:trPr>
                <w:trHeight w:val="767"/>
              </w:trPr>
              <w:tc>
                <w:tcPr>
                  <w:tcW w:w="17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4BF18"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Template</w:t>
                  </w:r>
                </w:p>
              </w:tc>
              <w:tc>
                <w:tcPr>
                  <w:tcW w:w="8285" w:type="dxa"/>
                  <w:tcBorders>
                    <w:top w:val="nil"/>
                    <w:left w:val="nil"/>
                    <w:bottom w:val="nil"/>
                    <w:right w:val="single" w:sz="4" w:space="0" w:color="auto"/>
                  </w:tcBorders>
                  <w:shd w:val="clear" w:color="auto" w:fill="auto"/>
                  <w:vAlign w:val="center"/>
                  <w:hideMark/>
                </w:tcPr>
                <w:p w14:paraId="3463DFAD"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for creating a supplier specific template to generate regular vouchers. This is an efficiency tool in SMART and enables the user to pull in a Template during the creation of a Regular voucher so the Invoice Line(s) and Payment specifics will be copied over automatically. </w:t>
                  </w:r>
                </w:p>
              </w:tc>
            </w:tr>
            <w:tr w:rsidR="009A3040" w:rsidRPr="009A3040" w14:paraId="70F3C455" w14:textId="77777777" w:rsidTr="00335046">
              <w:trPr>
                <w:trHeight w:val="767"/>
              </w:trPr>
              <w:tc>
                <w:tcPr>
                  <w:tcW w:w="1797" w:type="dxa"/>
                  <w:vMerge/>
                  <w:tcBorders>
                    <w:top w:val="nil"/>
                    <w:left w:val="single" w:sz="4" w:space="0" w:color="auto"/>
                    <w:bottom w:val="single" w:sz="4" w:space="0" w:color="000000"/>
                    <w:right w:val="single" w:sz="4" w:space="0" w:color="auto"/>
                  </w:tcBorders>
                  <w:vAlign w:val="center"/>
                  <w:hideMark/>
                </w:tcPr>
                <w:p w14:paraId="74B4A463"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center"/>
                  <w:hideMark/>
                </w:tcPr>
                <w:p w14:paraId="51136AC4"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Templates can only be copied into Regular vouchers created in the Accounts Payable module. They cannot be used for interfund type vouchers, adjustments, journal, reversal, or single payment vouchers.</w:t>
                  </w:r>
                </w:p>
              </w:tc>
            </w:tr>
          </w:tbl>
          <w:p w14:paraId="755A2CC9" w14:textId="7F08B9A9" w:rsidR="00335046" w:rsidRPr="00335046" w:rsidRDefault="00335046" w:rsidP="007A54F1">
            <w:pPr>
              <w:rPr>
                <w:rFonts w:asciiTheme="minorHAnsi" w:hAnsiTheme="minorHAnsi" w:cs="Arial"/>
                <w:b/>
                <w:noProof/>
                <w:color w:val="000000"/>
                <w:sz w:val="22"/>
                <w:szCs w:val="22"/>
              </w:rPr>
            </w:pPr>
            <w:r w:rsidRPr="00583A7C">
              <w:rPr>
                <w:rFonts w:asciiTheme="minorHAnsi" w:hAnsiTheme="minorHAnsi" w:cs="Arial"/>
                <w:b/>
                <w:noProof/>
                <w:color w:val="000000"/>
                <w:sz w:val="22"/>
                <w:szCs w:val="22"/>
              </w:rPr>
              <w:t>See the</w:t>
            </w:r>
            <w:r w:rsidRPr="004D4DB2">
              <w:rPr>
                <w:rFonts w:ascii="Arial" w:hAnsi="Arial" w:cs="Arial"/>
                <w:noProof/>
                <w:sz w:val="22"/>
                <w:szCs w:val="22"/>
              </w:rPr>
              <w:t xml:space="preserve"> </w:t>
            </w:r>
            <w:hyperlink r:id="rId15" w:history="1">
              <w:r w:rsidRPr="00375126">
                <w:rPr>
                  <w:rStyle w:val="Hyperlink"/>
                  <w:rFonts w:ascii="Arial" w:hAnsi="Arial" w:cs="Arial"/>
                  <w:noProof/>
                  <w:sz w:val="22"/>
                  <w:szCs w:val="22"/>
                </w:rPr>
                <w:t>Accounts Payable SMART</w:t>
              </w:r>
              <w:r w:rsidRPr="00375126">
                <w:rPr>
                  <w:rStyle w:val="Hyperlink"/>
                  <w:rFonts w:ascii="Arial" w:hAnsi="Arial" w:cs="Arial"/>
                  <w:i/>
                  <w:noProof/>
                  <w:sz w:val="22"/>
                  <w:szCs w:val="22"/>
                </w:rPr>
                <w:t>Web</w:t>
              </w:r>
            </w:hyperlink>
            <w:r w:rsidRPr="004D4DB2">
              <w:rPr>
                <w:rFonts w:ascii="Arial" w:hAnsi="Arial" w:cs="Arial"/>
                <w:noProof/>
                <w:sz w:val="22"/>
                <w:szCs w:val="22"/>
              </w:rPr>
              <w:t xml:space="preserve"> </w:t>
            </w:r>
            <w:r w:rsidRPr="00583A7C">
              <w:rPr>
                <w:rFonts w:asciiTheme="minorHAnsi" w:hAnsiTheme="minorHAnsi" w:cs="Arial"/>
                <w:b/>
                <w:noProof/>
                <w:color w:val="000000"/>
                <w:sz w:val="22"/>
                <w:szCs w:val="22"/>
              </w:rPr>
              <w:t>page for more details about each Voucher Style.</w:t>
            </w:r>
          </w:p>
        </w:tc>
      </w:tr>
    </w:tbl>
    <w:p w14:paraId="6A9E03C3" w14:textId="77777777" w:rsidR="00D35629" w:rsidRPr="00F20781" w:rsidRDefault="00D35629" w:rsidP="00FE3C00"/>
    <w:sectPr w:rsidR="00D35629" w:rsidRPr="00F20781"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DE19" w14:textId="77777777" w:rsidR="00DE7023" w:rsidRDefault="00DE7023" w:rsidP="00996C68">
      <w:r>
        <w:separator/>
      </w:r>
    </w:p>
  </w:endnote>
  <w:endnote w:type="continuationSeparator" w:id="0">
    <w:p w14:paraId="403D11B6" w14:textId="77777777" w:rsidR="00DE7023" w:rsidRDefault="00DE7023"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03CB" w14:textId="77777777"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4F3C2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4F3C26">
      <w:rPr>
        <w:rFonts w:ascii="Calibri" w:hAnsi="Calibri"/>
        <w:b/>
        <w:noProof/>
        <w:sz w:val="20"/>
        <w:szCs w:val="20"/>
      </w:rPr>
      <w:t>1</w:t>
    </w:r>
    <w:r w:rsidRPr="00996C68">
      <w:rPr>
        <w:rFonts w:ascii="Calibri" w:hAnsi="Calibri"/>
        <w:b/>
        <w:sz w:val="20"/>
        <w:szCs w:val="20"/>
      </w:rPr>
      <w:fldChar w:fldCharType="end"/>
    </w:r>
  </w:p>
  <w:p w14:paraId="6A9E03CC" w14:textId="7248C2AE" w:rsidR="004A43A5" w:rsidRPr="00CB7FA7" w:rsidRDefault="0027034B"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Create a Voucher</w:t>
    </w:r>
    <w:r w:rsidR="00175D9B" w:rsidRPr="00CB7FA7">
      <w:rPr>
        <w:rFonts w:ascii="Calibri" w:hAnsi="Calibri"/>
        <w:sz w:val="20"/>
        <w:szCs w:val="20"/>
        <w:lang w:val="en-US"/>
      </w:rPr>
      <w:t xml:space="preserve"> </w:t>
    </w:r>
    <w:r w:rsidR="00883EE6">
      <w:rPr>
        <w:rFonts w:ascii="Calibri" w:hAnsi="Calibri"/>
        <w:sz w:val="20"/>
        <w:szCs w:val="20"/>
        <w:lang w:val="en-US"/>
      </w:rPr>
      <w:t>06/17/2019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77A9" w14:textId="77777777" w:rsidR="00DE7023" w:rsidRDefault="00DE7023" w:rsidP="00996C68">
      <w:r>
        <w:separator/>
      </w:r>
    </w:p>
  </w:footnote>
  <w:footnote w:type="continuationSeparator" w:id="0">
    <w:p w14:paraId="79F29B9B" w14:textId="77777777" w:rsidR="00DE7023" w:rsidRDefault="00DE7023"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2E14"/>
    <w:multiLevelType w:val="hybridMultilevel"/>
    <w:tmpl w:val="F69A1432"/>
    <w:lvl w:ilvl="0" w:tplc="AD528D6C">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023C"/>
    <w:multiLevelType w:val="hybridMultilevel"/>
    <w:tmpl w:val="69229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1186"/>
    <w:multiLevelType w:val="hybridMultilevel"/>
    <w:tmpl w:val="94C61C2E"/>
    <w:lvl w:ilvl="0" w:tplc="7962054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03959"/>
    <w:multiLevelType w:val="hybridMultilevel"/>
    <w:tmpl w:val="B5A88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471D0"/>
    <w:multiLevelType w:val="hybridMultilevel"/>
    <w:tmpl w:val="529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8"/>
  </w:num>
  <w:num w:numId="5">
    <w:abstractNumId w:val="14"/>
  </w:num>
  <w:num w:numId="6">
    <w:abstractNumId w:val="21"/>
  </w:num>
  <w:num w:numId="7">
    <w:abstractNumId w:val="7"/>
  </w:num>
  <w:num w:numId="8">
    <w:abstractNumId w:val="22"/>
  </w:num>
  <w:num w:numId="9">
    <w:abstractNumId w:val="25"/>
  </w:num>
  <w:num w:numId="10">
    <w:abstractNumId w:val="19"/>
  </w:num>
  <w:num w:numId="11">
    <w:abstractNumId w:val="9"/>
  </w:num>
  <w:num w:numId="12">
    <w:abstractNumId w:val="11"/>
  </w:num>
  <w:num w:numId="13">
    <w:abstractNumId w:val="17"/>
  </w:num>
  <w:num w:numId="14">
    <w:abstractNumId w:val="15"/>
  </w:num>
  <w:num w:numId="15">
    <w:abstractNumId w:val="24"/>
  </w:num>
  <w:num w:numId="16">
    <w:abstractNumId w:val="10"/>
  </w:num>
  <w:num w:numId="17">
    <w:abstractNumId w:val="1"/>
  </w:num>
  <w:num w:numId="18">
    <w:abstractNumId w:val="23"/>
  </w:num>
  <w:num w:numId="19">
    <w:abstractNumId w:val="16"/>
  </w:num>
  <w:num w:numId="20">
    <w:abstractNumId w:val="0"/>
  </w:num>
  <w:num w:numId="21">
    <w:abstractNumId w:val="2"/>
  </w:num>
  <w:num w:numId="22">
    <w:abstractNumId w:val="18"/>
  </w:num>
  <w:num w:numId="23">
    <w:abstractNumId w:val="12"/>
  </w:num>
  <w:num w:numId="24">
    <w:abstractNumId w:val="5"/>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202B3"/>
    <w:rsid w:val="0002623B"/>
    <w:rsid w:val="00031167"/>
    <w:rsid w:val="000360BC"/>
    <w:rsid w:val="00037422"/>
    <w:rsid w:val="00046D31"/>
    <w:rsid w:val="00051BA9"/>
    <w:rsid w:val="00065551"/>
    <w:rsid w:val="0008055B"/>
    <w:rsid w:val="00083B78"/>
    <w:rsid w:val="00095E1B"/>
    <w:rsid w:val="00097987"/>
    <w:rsid w:val="000A40AE"/>
    <w:rsid w:val="000B12F4"/>
    <w:rsid w:val="000B6F45"/>
    <w:rsid w:val="000B70C4"/>
    <w:rsid w:val="000C101D"/>
    <w:rsid w:val="000D5918"/>
    <w:rsid w:val="000E69AC"/>
    <w:rsid w:val="000E6F8A"/>
    <w:rsid w:val="000E7D16"/>
    <w:rsid w:val="000F198D"/>
    <w:rsid w:val="000F293F"/>
    <w:rsid w:val="000F3F4C"/>
    <w:rsid w:val="000F77D1"/>
    <w:rsid w:val="0011216C"/>
    <w:rsid w:val="001251AD"/>
    <w:rsid w:val="00125205"/>
    <w:rsid w:val="00127101"/>
    <w:rsid w:val="001320A7"/>
    <w:rsid w:val="0014141A"/>
    <w:rsid w:val="00145465"/>
    <w:rsid w:val="00157F39"/>
    <w:rsid w:val="001618F0"/>
    <w:rsid w:val="00161D65"/>
    <w:rsid w:val="00166823"/>
    <w:rsid w:val="001721A4"/>
    <w:rsid w:val="00174887"/>
    <w:rsid w:val="00175D9B"/>
    <w:rsid w:val="00184B5D"/>
    <w:rsid w:val="00197B74"/>
    <w:rsid w:val="001A135E"/>
    <w:rsid w:val="001A6CF3"/>
    <w:rsid w:val="001B52C2"/>
    <w:rsid w:val="001C4D52"/>
    <w:rsid w:val="001D4AD4"/>
    <w:rsid w:val="001D7651"/>
    <w:rsid w:val="001E011D"/>
    <w:rsid w:val="001E1893"/>
    <w:rsid w:val="001E6AFC"/>
    <w:rsid w:val="001F2DD7"/>
    <w:rsid w:val="001F69A1"/>
    <w:rsid w:val="002078FC"/>
    <w:rsid w:val="00215EF1"/>
    <w:rsid w:val="00222809"/>
    <w:rsid w:val="002259E7"/>
    <w:rsid w:val="002273FC"/>
    <w:rsid w:val="002317E0"/>
    <w:rsid w:val="00233313"/>
    <w:rsid w:val="00235F41"/>
    <w:rsid w:val="00237E17"/>
    <w:rsid w:val="002407E4"/>
    <w:rsid w:val="00240C9E"/>
    <w:rsid w:val="00243754"/>
    <w:rsid w:val="00246CBA"/>
    <w:rsid w:val="0024780E"/>
    <w:rsid w:val="002548FE"/>
    <w:rsid w:val="00254DE3"/>
    <w:rsid w:val="002625B4"/>
    <w:rsid w:val="00263863"/>
    <w:rsid w:val="002646B1"/>
    <w:rsid w:val="00265739"/>
    <w:rsid w:val="00265EAA"/>
    <w:rsid w:val="00267F32"/>
    <w:rsid w:val="0027034B"/>
    <w:rsid w:val="00271391"/>
    <w:rsid w:val="00290E9D"/>
    <w:rsid w:val="002B6548"/>
    <w:rsid w:val="002D4683"/>
    <w:rsid w:val="002E13D2"/>
    <w:rsid w:val="002E39F4"/>
    <w:rsid w:val="002E6D56"/>
    <w:rsid w:val="002E7945"/>
    <w:rsid w:val="00305881"/>
    <w:rsid w:val="003064CA"/>
    <w:rsid w:val="00310EBC"/>
    <w:rsid w:val="00312661"/>
    <w:rsid w:val="00324E8D"/>
    <w:rsid w:val="00335046"/>
    <w:rsid w:val="0033639B"/>
    <w:rsid w:val="00341BE7"/>
    <w:rsid w:val="00342FC1"/>
    <w:rsid w:val="0034364E"/>
    <w:rsid w:val="00345821"/>
    <w:rsid w:val="003508A9"/>
    <w:rsid w:val="00351DE4"/>
    <w:rsid w:val="003520A0"/>
    <w:rsid w:val="003549D3"/>
    <w:rsid w:val="003716E0"/>
    <w:rsid w:val="003738F2"/>
    <w:rsid w:val="003749F1"/>
    <w:rsid w:val="00375126"/>
    <w:rsid w:val="00380055"/>
    <w:rsid w:val="00380F61"/>
    <w:rsid w:val="00383099"/>
    <w:rsid w:val="00387BC5"/>
    <w:rsid w:val="0039653E"/>
    <w:rsid w:val="003A37DE"/>
    <w:rsid w:val="003B0495"/>
    <w:rsid w:val="003B15D7"/>
    <w:rsid w:val="003C53AA"/>
    <w:rsid w:val="003D511F"/>
    <w:rsid w:val="003E2E95"/>
    <w:rsid w:val="003E5B68"/>
    <w:rsid w:val="003F2AA2"/>
    <w:rsid w:val="0040035C"/>
    <w:rsid w:val="0040197F"/>
    <w:rsid w:val="00402115"/>
    <w:rsid w:val="004128EE"/>
    <w:rsid w:val="004443B6"/>
    <w:rsid w:val="00466533"/>
    <w:rsid w:val="00477DAF"/>
    <w:rsid w:val="00482866"/>
    <w:rsid w:val="00483D5F"/>
    <w:rsid w:val="004847C7"/>
    <w:rsid w:val="004868DD"/>
    <w:rsid w:val="0049585B"/>
    <w:rsid w:val="004A0B6D"/>
    <w:rsid w:val="004A40EA"/>
    <w:rsid w:val="004A43A5"/>
    <w:rsid w:val="004B03D9"/>
    <w:rsid w:val="004B5EE2"/>
    <w:rsid w:val="004C084E"/>
    <w:rsid w:val="004C0BC4"/>
    <w:rsid w:val="004C7AB2"/>
    <w:rsid w:val="004D19B0"/>
    <w:rsid w:val="004D4DB2"/>
    <w:rsid w:val="004D676B"/>
    <w:rsid w:val="004E0864"/>
    <w:rsid w:val="004E2570"/>
    <w:rsid w:val="004E54EA"/>
    <w:rsid w:val="004E60F1"/>
    <w:rsid w:val="004F37A5"/>
    <w:rsid w:val="004F3C26"/>
    <w:rsid w:val="00506445"/>
    <w:rsid w:val="00515F37"/>
    <w:rsid w:val="005202D2"/>
    <w:rsid w:val="005257FA"/>
    <w:rsid w:val="0053071A"/>
    <w:rsid w:val="00535F16"/>
    <w:rsid w:val="00547013"/>
    <w:rsid w:val="00550A8C"/>
    <w:rsid w:val="005518BD"/>
    <w:rsid w:val="005544A6"/>
    <w:rsid w:val="00554EEB"/>
    <w:rsid w:val="005559DD"/>
    <w:rsid w:val="00566D8E"/>
    <w:rsid w:val="00583A7C"/>
    <w:rsid w:val="00584192"/>
    <w:rsid w:val="00584EB2"/>
    <w:rsid w:val="005A65E5"/>
    <w:rsid w:val="005B0FDA"/>
    <w:rsid w:val="005B3CE8"/>
    <w:rsid w:val="005B6E35"/>
    <w:rsid w:val="005B714B"/>
    <w:rsid w:val="005C4C83"/>
    <w:rsid w:val="005E1BFC"/>
    <w:rsid w:val="005E28A3"/>
    <w:rsid w:val="005E2CAF"/>
    <w:rsid w:val="005E3AB3"/>
    <w:rsid w:val="005E7853"/>
    <w:rsid w:val="005F4A52"/>
    <w:rsid w:val="005F7B5A"/>
    <w:rsid w:val="00606BC0"/>
    <w:rsid w:val="006075D3"/>
    <w:rsid w:val="006105D7"/>
    <w:rsid w:val="00611B4C"/>
    <w:rsid w:val="00624C1B"/>
    <w:rsid w:val="0062656F"/>
    <w:rsid w:val="00632CD8"/>
    <w:rsid w:val="0064153C"/>
    <w:rsid w:val="00642264"/>
    <w:rsid w:val="00650389"/>
    <w:rsid w:val="00652B29"/>
    <w:rsid w:val="00652D2D"/>
    <w:rsid w:val="00652F36"/>
    <w:rsid w:val="00661350"/>
    <w:rsid w:val="0067019E"/>
    <w:rsid w:val="00671862"/>
    <w:rsid w:val="0067532C"/>
    <w:rsid w:val="00675C17"/>
    <w:rsid w:val="006845C8"/>
    <w:rsid w:val="006853FB"/>
    <w:rsid w:val="00690756"/>
    <w:rsid w:val="00693888"/>
    <w:rsid w:val="0069517E"/>
    <w:rsid w:val="006A1CB6"/>
    <w:rsid w:val="006A5156"/>
    <w:rsid w:val="006A60FB"/>
    <w:rsid w:val="006B429C"/>
    <w:rsid w:val="006B46FC"/>
    <w:rsid w:val="006B66B5"/>
    <w:rsid w:val="006C4BC2"/>
    <w:rsid w:val="006C53CA"/>
    <w:rsid w:val="006C6A8C"/>
    <w:rsid w:val="006D1E78"/>
    <w:rsid w:val="006E6325"/>
    <w:rsid w:val="006E7A32"/>
    <w:rsid w:val="006F03AB"/>
    <w:rsid w:val="00706D9D"/>
    <w:rsid w:val="00706F25"/>
    <w:rsid w:val="007100D6"/>
    <w:rsid w:val="0072049B"/>
    <w:rsid w:val="00731301"/>
    <w:rsid w:val="007424DD"/>
    <w:rsid w:val="007607AB"/>
    <w:rsid w:val="0076797A"/>
    <w:rsid w:val="0077141D"/>
    <w:rsid w:val="00772A22"/>
    <w:rsid w:val="00775B75"/>
    <w:rsid w:val="00785BC9"/>
    <w:rsid w:val="007935AF"/>
    <w:rsid w:val="007938E0"/>
    <w:rsid w:val="00796837"/>
    <w:rsid w:val="007A250E"/>
    <w:rsid w:val="007A48D5"/>
    <w:rsid w:val="007A54F1"/>
    <w:rsid w:val="007A7FF1"/>
    <w:rsid w:val="007B111E"/>
    <w:rsid w:val="007D55E7"/>
    <w:rsid w:val="007E0CFE"/>
    <w:rsid w:val="007E38B9"/>
    <w:rsid w:val="007E6960"/>
    <w:rsid w:val="007F3D2C"/>
    <w:rsid w:val="007F628B"/>
    <w:rsid w:val="007F6BE5"/>
    <w:rsid w:val="00800E42"/>
    <w:rsid w:val="008030A8"/>
    <w:rsid w:val="00806A57"/>
    <w:rsid w:val="00812A2C"/>
    <w:rsid w:val="008240C1"/>
    <w:rsid w:val="008346AE"/>
    <w:rsid w:val="0083555A"/>
    <w:rsid w:val="00835DD3"/>
    <w:rsid w:val="0084482B"/>
    <w:rsid w:val="00845309"/>
    <w:rsid w:val="00853B49"/>
    <w:rsid w:val="0085682D"/>
    <w:rsid w:val="00863D1F"/>
    <w:rsid w:val="00870EB2"/>
    <w:rsid w:val="0087105B"/>
    <w:rsid w:val="00881603"/>
    <w:rsid w:val="008829A3"/>
    <w:rsid w:val="00883EE6"/>
    <w:rsid w:val="00886BBB"/>
    <w:rsid w:val="00890040"/>
    <w:rsid w:val="008934AD"/>
    <w:rsid w:val="008B3C22"/>
    <w:rsid w:val="008B5B32"/>
    <w:rsid w:val="008B6276"/>
    <w:rsid w:val="008C2BE6"/>
    <w:rsid w:val="008C6DAF"/>
    <w:rsid w:val="008C6EDA"/>
    <w:rsid w:val="008D104C"/>
    <w:rsid w:val="008D3404"/>
    <w:rsid w:val="008E5F3A"/>
    <w:rsid w:val="008F3F30"/>
    <w:rsid w:val="008F5AE7"/>
    <w:rsid w:val="00901A55"/>
    <w:rsid w:val="009115D5"/>
    <w:rsid w:val="00916A14"/>
    <w:rsid w:val="009205A1"/>
    <w:rsid w:val="00934316"/>
    <w:rsid w:val="0094387D"/>
    <w:rsid w:val="00945EAE"/>
    <w:rsid w:val="00956B1F"/>
    <w:rsid w:val="0096138D"/>
    <w:rsid w:val="009773A3"/>
    <w:rsid w:val="009800A6"/>
    <w:rsid w:val="009876A0"/>
    <w:rsid w:val="00995A6F"/>
    <w:rsid w:val="00996C68"/>
    <w:rsid w:val="009A0867"/>
    <w:rsid w:val="009A3040"/>
    <w:rsid w:val="009A5953"/>
    <w:rsid w:val="009A7916"/>
    <w:rsid w:val="009B690D"/>
    <w:rsid w:val="009D2753"/>
    <w:rsid w:val="009D5E76"/>
    <w:rsid w:val="009E2F66"/>
    <w:rsid w:val="009E381A"/>
    <w:rsid w:val="009E781E"/>
    <w:rsid w:val="00A008BC"/>
    <w:rsid w:val="00A017B0"/>
    <w:rsid w:val="00A05D98"/>
    <w:rsid w:val="00A1195F"/>
    <w:rsid w:val="00A15E48"/>
    <w:rsid w:val="00A17E68"/>
    <w:rsid w:val="00A2450D"/>
    <w:rsid w:val="00A25A43"/>
    <w:rsid w:val="00A51B6A"/>
    <w:rsid w:val="00A633AA"/>
    <w:rsid w:val="00A700FC"/>
    <w:rsid w:val="00A7760F"/>
    <w:rsid w:val="00A85005"/>
    <w:rsid w:val="00A91097"/>
    <w:rsid w:val="00AA5A57"/>
    <w:rsid w:val="00AC3EA4"/>
    <w:rsid w:val="00AD1367"/>
    <w:rsid w:val="00AD6A7E"/>
    <w:rsid w:val="00AD7F09"/>
    <w:rsid w:val="00AE0853"/>
    <w:rsid w:val="00AF2E3C"/>
    <w:rsid w:val="00B02D46"/>
    <w:rsid w:val="00B21163"/>
    <w:rsid w:val="00B31645"/>
    <w:rsid w:val="00B33207"/>
    <w:rsid w:val="00B34D76"/>
    <w:rsid w:val="00B37C9A"/>
    <w:rsid w:val="00B4134B"/>
    <w:rsid w:val="00B419B2"/>
    <w:rsid w:val="00B436EB"/>
    <w:rsid w:val="00B45CAD"/>
    <w:rsid w:val="00B463EA"/>
    <w:rsid w:val="00B54F0B"/>
    <w:rsid w:val="00B55A0E"/>
    <w:rsid w:val="00B75097"/>
    <w:rsid w:val="00B847DF"/>
    <w:rsid w:val="00B91997"/>
    <w:rsid w:val="00B91A91"/>
    <w:rsid w:val="00BA0150"/>
    <w:rsid w:val="00BA53BF"/>
    <w:rsid w:val="00BA6C0C"/>
    <w:rsid w:val="00BB4D40"/>
    <w:rsid w:val="00BC1B53"/>
    <w:rsid w:val="00BC36CD"/>
    <w:rsid w:val="00BD5937"/>
    <w:rsid w:val="00BE2598"/>
    <w:rsid w:val="00C040EC"/>
    <w:rsid w:val="00C06422"/>
    <w:rsid w:val="00C14960"/>
    <w:rsid w:val="00C151E2"/>
    <w:rsid w:val="00C34181"/>
    <w:rsid w:val="00C512F0"/>
    <w:rsid w:val="00C74345"/>
    <w:rsid w:val="00C74D13"/>
    <w:rsid w:val="00C81D1B"/>
    <w:rsid w:val="00C902E5"/>
    <w:rsid w:val="00CA22C5"/>
    <w:rsid w:val="00CA3CE1"/>
    <w:rsid w:val="00CA430F"/>
    <w:rsid w:val="00CB018D"/>
    <w:rsid w:val="00CB14AC"/>
    <w:rsid w:val="00CB3823"/>
    <w:rsid w:val="00CB5762"/>
    <w:rsid w:val="00CB7FA7"/>
    <w:rsid w:val="00CC3C74"/>
    <w:rsid w:val="00CC5C66"/>
    <w:rsid w:val="00CC6597"/>
    <w:rsid w:val="00CD0715"/>
    <w:rsid w:val="00CE2D7B"/>
    <w:rsid w:val="00CE66D0"/>
    <w:rsid w:val="00CE7B19"/>
    <w:rsid w:val="00CE7F03"/>
    <w:rsid w:val="00CF4252"/>
    <w:rsid w:val="00D05114"/>
    <w:rsid w:val="00D06DAF"/>
    <w:rsid w:val="00D109F2"/>
    <w:rsid w:val="00D127E7"/>
    <w:rsid w:val="00D16131"/>
    <w:rsid w:val="00D169C5"/>
    <w:rsid w:val="00D22CDD"/>
    <w:rsid w:val="00D27E5A"/>
    <w:rsid w:val="00D30803"/>
    <w:rsid w:val="00D35629"/>
    <w:rsid w:val="00D41EA4"/>
    <w:rsid w:val="00D44C86"/>
    <w:rsid w:val="00D45A4D"/>
    <w:rsid w:val="00D477B1"/>
    <w:rsid w:val="00D571BF"/>
    <w:rsid w:val="00D72EF5"/>
    <w:rsid w:val="00D750EC"/>
    <w:rsid w:val="00D77D64"/>
    <w:rsid w:val="00D81B16"/>
    <w:rsid w:val="00D83D31"/>
    <w:rsid w:val="00D83EC5"/>
    <w:rsid w:val="00D85455"/>
    <w:rsid w:val="00D90622"/>
    <w:rsid w:val="00D96D6D"/>
    <w:rsid w:val="00DA2474"/>
    <w:rsid w:val="00DA5095"/>
    <w:rsid w:val="00DB39DE"/>
    <w:rsid w:val="00DB3D9B"/>
    <w:rsid w:val="00DB76F4"/>
    <w:rsid w:val="00DC5CED"/>
    <w:rsid w:val="00DD2131"/>
    <w:rsid w:val="00DD7F86"/>
    <w:rsid w:val="00DE0CEC"/>
    <w:rsid w:val="00DE43CD"/>
    <w:rsid w:val="00DE7023"/>
    <w:rsid w:val="00DF5022"/>
    <w:rsid w:val="00E01257"/>
    <w:rsid w:val="00E07E5A"/>
    <w:rsid w:val="00E1035A"/>
    <w:rsid w:val="00E25E59"/>
    <w:rsid w:val="00E419A6"/>
    <w:rsid w:val="00E46737"/>
    <w:rsid w:val="00E55993"/>
    <w:rsid w:val="00E71D56"/>
    <w:rsid w:val="00E72072"/>
    <w:rsid w:val="00E75341"/>
    <w:rsid w:val="00E875FA"/>
    <w:rsid w:val="00E9354B"/>
    <w:rsid w:val="00E97AFD"/>
    <w:rsid w:val="00EA2F3A"/>
    <w:rsid w:val="00EA49CE"/>
    <w:rsid w:val="00EB148E"/>
    <w:rsid w:val="00ED4497"/>
    <w:rsid w:val="00ED45DA"/>
    <w:rsid w:val="00EE1A38"/>
    <w:rsid w:val="00EE42CD"/>
    <w:rsid w:val="00EE5FCC"/>
    <w:rsid w:val="00EF76C5"/>
    <w:rsid w:val="00F00B89"/>
    <w:rsid w:val="00F00C33"/>
    <w:rsid w:val="00F16688"/>
    <w:rsid w:val="00F171F6"/>
    <w:rsid w:val="00F20781"/>
    <w:rsid w:val="00F3608C"/>
    <w:rsid w:val="00F366FE"/>
    <w:rsid w:val="00F410BB"/>
    <w:rsid w:val="00F47D2B"/>
    <w:rsid w:val="00F5112D"/>
    <w:rsid w:val="00F62A63"/>
    <w:rsid w:val="00F62BAC"/>
    <w:rsid w:val="00F664E4"/>
    <w:rsid w:val="00F67A85"/>
    <w:rsid w:val="00F74D94"/>
    <w:rsid w:val="00F81AF8"/>
    <w:rsid w:val="00F96839"/>
    <w:rsid w:val="00FA35B8"/>
    <w:rsid w:val="00FB65CC"/>
    <w:rsid w:val="00FB7A31"/>
    <w:rsid w:val="00FE3C00"/>
    <w:rsid w:val="00FF170E"/>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039C"/>
  <w15:docId w15:val="{89004F76-5DEF-406B-9569-B2899E1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UnresolvedMention">
    <w:name w:val="Unresolved Mention"/>
    <w:basedOn w:val="DefaultParagraphFont"/>
    <w:uiPriority w:val="99"/>
    <w:semiHidden/>
    <w:unhideWhenUsed/>
    <w:rsid w:val="0037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7475">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811143233">
      <w:bodyDiv w:val="1"/>
      <w:marLeft w:val="0"/>
      <w:marRight w:val="0"/>
      <w:marTop w:val="0"/>
      <w:marBottom w:val="0"/>
      <w:divBdr>
        <w:top w:val="none" w:sz="0" w:space="0" w:color="auto"/>
        <w:left w:val="none" w:sz="0" w:space="0" w:color="auto"/>
        <w:bottom w:val="none" w:sz="0" w:space="0" w:color="auto"/>
        <w:right w:val="none" w:sz="0" w:space="0" w:color="auto"/>
      </w:divBdr>
    </w:div>
    <w:div w:id="848182189">
      <w:bodyDiv w:val="1"/>
      <w:marLeft w:val="0"/>
      <w:marRight w:val="0"/>
      <w:marTop w:val="0"/>
      <w:marBottom w:val="0"/>
      <w:divBdr>
        <w:top w:val="none" w:sz="0" w:space="0" w:color="auto"/>
        <w:left w:val="none" w:sz="0" w:space="0" w:color="auto"/>
        <w:bottom w:val="none" w:sz="0" w:space="0" w:color="auto"/>
        <w:right w:val="none" w:sz="0" w:space="0" w:color="auto"/>
      </w:divBdr>
    </w:div>
    <w:div w:id="912005899">
      <w:bodyDiv w:val="1"/>
      <w:marLeft w:val="0"/>
      <w:marRight w:val="0"/>
      <w:marTop w:val="0"/>
      <w:marBottom w:val="0"/>
      <w:divBdr>
        <w:top w:val="none" w:sz="0" w:space="0" w:color="auto"/>
        <w:left w:val="none" w:sz="0" w:space="0" w:color="auto"/>
        <w:bottom w:val="none" w:sz="0" w:space="0" w:color="auto"/>
        <w:right w:val="none" w:sz="0" w:space="0" w:color="auto"/>
      </w:divBdr>
    </w:div>
    <w:div w:id="1066104794">
      <w:bodyDiv w:val="1"/>
      <w:marLeft w:val="0"/>
      <w:marRight w:val="0"/>
      <w:marTop w:val="0"/>
      <w:marBottom w:val="0"/>
      <w:divBdr>
        <w:top w:val="none" w:sz="0" w:space="0" w:color="auto"/>
        <w:left w:val="none" w:sz="0" w:space="0" w:color="auto"/>
        <w:bottom w:val="none" w:sz="0" w:space="0" w:color="auto"/>
        <w:right w:val="none" w:sz="0" w:space="0" w:color="auto"/>
      </w:divBdr>
    </w:div>
    <w:div w:id="1066143099">
      <w:bodyDiv w:val="1"/>
      <w:marLeft w:val="0"/>
      <w:marRight w:val="0"/>
      <w:marTop w:val="0"/>
      <w:marBottom w:val="0"/>
      <w:divBdr>
        <w:top w:val="none" w:sz="0" w:space="0" w:color="auto"/>
        <w:left w:val="none" w:sz="0" w:space="0" w:color="auto"/>
        <w:bottom w:val="none" w:sz="0" w:space="0" w:color="auto"/>
        <w:right w:val="none" w:sz="0" w:space="0" w:color="auto"/>
      </w:divBdr>
    </w:div>
    <w:div w:id="1248807777">
      <w:bodyDiv w:val="1"/>
      <w:marLeft w:val="0"/>
      <w:marRight w:val="0"/>
      <w:marTop w:val="0"/>
      <w:marBottom w:val="0"/>
      <w:divBdr>
        <w:top w:val="none" w:sz="0" w:space="0" w:color="auto"/>
        <w:left w:val="none" w:sz="0" w:space="0" w:color="auto"/>
        <w:bottom w:val="none" w:sz="0" w:space="0" w:color="auto"/>
        <w:right w:val="none" w:sz="0" w:space="0" w:color="auto"/>
      </w:divBdr>
    </w:div>
    <w:div w:id="1258751715">
      <w:bodyDiv w:val="1"/>
      <w:marLeft w:val="0"/>
      <w:marRight w:val="0"/>
      <w:marTop w:val="0"/>
      <w:marBottom w:val="0"/>
      <w:divBdr>
        <w:top w:val="none" w:sz="0" w:space="0" w:color="auto"/>
        <w:left w:val="none" w:sz="0" w:space="0" w:color="auto"/>
        <w:bottom w:val="none" w:sz="0" w:space="0" w:color="auto"/>
        <w:right w:val="none" w:sz="0" w:space="0" w:color="auto"/>
      </w:divBdr>
    </w:div>
    <w:div w:id="1346445889">
      <w:bodyDiv w:val="1"/>
      <w:marLeft w:val="0"/>
      <w:marRight w:val="0"/>
      <w:marTop w:val="0"/>
      <w:marBottom w:val="0"/>
      <w:divBdr>
        <w:top w:val="none" w:sz="0" w:space="0" w:color="auto"/>
        <w:left w:val="none" w:sz="0" w:space="0" w:color="auto"/>
        <w:bottom w:val="none" w:sz="0" w:space="0" w:color="auto"/>
        <w:right w:val="none" w:sz="0" w:space="0" w:color="auto"/>
      </w:divBdr>
    </w:div>
    <w:div w:id="1369260501">
      <w:bodyDiv w:val="1"/>
      <w:marLeft w:val="0"/>
      <w:marRight w:val="0"/>
      <w:marTop w:val="0"/>
      <w:marBottom w:val="0"/>
      <w:divBdr>
        <w:top w:val="none" w:sz="0" w:space="0" w:color="auto"/>
        <w:left w:val="none" w:sz="0" w:space="0" w:color="auto"/>
        <w:bottom w:val="none" w:sz="0" w:space="0" w:color="auto"/>
        <w:right w:val="none" w:sz="0" w:space="0" w:color="auto"/>
      </w:divBdr>
    </w:div>
    <w:div w:id="1426001426">
      <w:bodyDiv w:val="1"/>
      <w:marLeft w:val="0"/>
      <w:marRight w:val="0"/>
      <w:marTop w:val="0"/>
      <w:marBottom w:val="0"/>
      <w:divBdr>
        <w:top w:val="none" w:sz="0" w:space="0" w:color="auto"/>
        <w:left w:val="none" w:sz="0" w:space="0" w:color="auto"/>
        <w:bottom w:val="none" w:sz="0" w:space="0" w:color="auto"/>
        <w:right w:val="none" w:sz="0" w:space="0" w:color="auto"/>
      </w:divBdr>
    </w:div>
    <w:div w:id="1442452826">
      <w:bodyDiv w:val="1"/>
      <w:marLeft w:val="0"/>
      <w:marRight w:val="0"/>
      <w:marTop w:val="0"/>
      <w:marBottom w:val="0"/>
      <w:divBdr>
        <w:top w:val="none" w:sz="0" w:space="0" w:color="auto"/>
        <w:left w:val="none" w:sz="0" w:space="0" w:color="auto"/>
        <w:bottom w:val="none" w:sz="0" w:space="0" w:color="auto"/>
        <w:right w:val="none" w:sz="0" w:space="0" w:color="auto"/>
      </w:divBdr>
    </w:div>
    <w:div w:id="1715350360">
      <w:bodyDiv w:val="1"/>
      <w:marLeft w:val="0"/>
      <w:marRight w:val="0"/>
      <w:marTop w:val="0"/>
      <w:marBottom w:val="0"/>
      <w:divBdr>
        <w:top w:val="none" w:sz="0" w:space="0" w:color="auto"/>
        <w:left w:val="none" w:sz="0" w:space="0" w:color="auto"/>
        <w:bottom w:val="none" w:sz="0" w:space="0" w:color="auto"/>
        <w:right w:val="none" w:sz="0" w:space="0" w:color="auto"/>
      </w:divBdr>
    </w:div>
    <w:div w:id="1785032890">
      <w:bodyDiv w:val="1"/>
      <w:marLeft w:val="0"/>
      <w:marRight w:val="0"/>
      <w:marTop w:val="0"/>
      <w:marBottom w:val="0"/>
      <w:divBdr>
        <w:top w:val="none" w:sz="0" w:space="0" w:color="auto"/>
        <w:left w:val="none" w:sz="0" w:space="0" w:color="auto"/>
        <w:bottom w:val="none" w:sz="0" w:space="0" w:color="auto"/>
        <w:right w:val="none" w:sz="0" w:space="0" w:color="auto"/>
      </w:divBdr>
    </w:div>
    <w:div w:id="20505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artweb.ks.gov/training/accounts-payable" TargetMode="Externa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B8CB-7D19-4176-8AF2-EEE4CE02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[DASM]</cp:lastModifiedBy>
  <cp:revision>2</cp:revision>
  <cp:lastPrinted>2018-09-13T18:28:00Z</cp:lastPrinted>
  <dcterms:created xsi:type="dcterms:W3CDTF">2019-06-14T15:47:00Z</dcterms:created>
  <dcterms:modified xsi:type="dcterms:W3CDTF">2019-06-14T15:47:00Z</dcterms:modified>
</cp:coreProperties>
</file>