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E42" w:rsidRPr="00BC5179" w:rsidRDefault="005F47B1" w:rsidP="004D22FE">
      <w:pPr>
        <w:pStyle w:val="Header"/>
        <w:jc w:val="center"/>
        <w:rPr>
          <w:rFonts w:ascii="Calibri" w:hAnsi="Calibri" w:cs="Arial"/>
          <w:b/>
          <w:bCs/>
          <w:noProof/>
          <w:sz w:val="28"/>
          <w:szCs w:val="28"/>
          <w:lang w:val="en-US"/>
        </w:rPr>
      </w:pPr>
      <w:r>
        <w:rPr>
          <w:rFonts w:cs="Arial"/>
          <w:b/>
          <w:bCs/>
          <w:noProof/>
          <w:sz w:val="28"/>
          <w:szCs w:val="28"/>
        </w:rPr>
        <w:drawing>
          <wp:anchor distT="0" distB="0" distL="114300" distR="114300" simplePos="0" relativeHeight="251657216" behindDoc="0" locked="0" layoutInCell="1" allowOverlap="1">
            <wp:simplePos x="0" y="0"/>
            <wp:positionH relativeFrom="column">
              <wp:posOffset>-457200</wp:posOffset>
            </wp:positionH>
            <wp:positionV relativeFrom="paragraph">
              <wp:posOffset>28575</wp:posOffset>
            </wp:positionV>
            <wp:extent cx="1266825" cy="7651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DD2744">
        <w:rPr>
          <w:rFonts w:ascii="Calibri" w:hAnsi="Calibri"/>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8" o:title=""/>
            <o:lock v:ext="edit" aspectratio="f"/>
          </v:shape>
          <o:OLEObject Type="Embed" ProgID="Visio.Drawing.11" ShapeID="_x0000_s1027" DrawAspect="Content" ObjectID="_1614423605" r:id="rId9"/>
        </w:object>
      </w:r>
      <w:r w:rsidR="00800E42" w:rsidRPr="00BC5179">
        <w:rPr>
          <w:rFonts w:ascii="Calibri" w:hAnsi="Calibri" w:cs="Arial"/>
          <w:b/>
          <w:bCs/>
          <w:noProof/>
          <w:sz w:val="28"/>
          <w:szCs w:val="28"/>
        </w:rPr>
        <w:t>State of Kansas</w:t>
      </w:r>
    </w:p>
    <w:p w:rsidR="00BC5179" w:rsidRPr="00503EDD" w:rsidRDefault="00BC5179" w:rsidP="00BC5179">
      <w:pPr>
        <w:pStyle w:val="Header"/>
        <w:spacing w:before="100" w:beforeAutospacing="1"/>
        <w:contextualSpacing/>
        <w:jc w:val="center"/>
        <w:rPr>
          <w:rFonts w:ascii="Verdana" w:hAnsi="Verdana" w:cs="Arial"/>
          <w:b/>
          <w:bCs/>
          <w:noProof/>
          <w:sz w:val="28"/>
          <w:szCs w:val="28"/>
          <w:lang w:val="en-US"/>
        </w:rPr>
      </w:pPr>
      <w:r w:rsidRPr="00503EDD">
        <w:rPr>
          <w:rFonts w:ascii="Verdana" w:hAnsi="Verdana" w:cs="Arial"/>
          <w:b/>
          <w:bCs/>
          <w:noProof/>
          <w:sz w:val="28"/>
          <w:szCs w:val="28"/>
          <w:lang w:val="en-US"/>
        </w:rPr>
        <w:t xml:space="preserve">Increasing the Billing Limit on an </w:t>
      </w:r>
    </w:p>
    <w:p w:rsidR="00BC5179" w:rsidRPr="00503EDD" w:rsidRDefault="00BC5179" w:rsidP="00BC5179">
      <w:pPr>
        <w:pStyle w:val="Header"/>
        <w:spacing w:before="100" w:beforeAutospacing="1"/>
        <w:contextualSpacing/>
        <w:jc w:val="center"/>
        <w:rPr>
          <w:rFonts w:ascii="Verdana" w:hAnsi="Verdana" w:cs="Arial"/>
          <w:b/>
          <w:bCs/>
          <w:noProof/>
          <w:sz w:val="28"/>
          <w:szCs w:val="28"/>
          <w:lang w:val="en-US"/>
        </w:rPr>
      </w:pPr>
      <w:r w:rsidRPr="00503EDD">
        <w:rPr>
          <w:rFonts w:ascii="Verdana" w:hAnsi="Verdana" w:cs="Arial"/>
          <w:b/>
          <w:bCs/>
          <w:noProof/>
          <w:sz w:val="28"/>
          <w:szCs w:val="28"/>
          <w:lang w:val="en-US"/>
        </w:rPr>
        <w:t>As Incurred Contract</w:t>
      </w:r>
    </w:p>
    <w:p w:rsidR="005F7B5A" w:rsidRPr="00996C68" w:rsidRDefault="00800E42" w:rsidP="00BC5179">
      <w:pPr>
        <w:spacing w:after="360"/>
        <w:jc w:val="center"/>
        <w:rPr>
          <w:rFonts w:ascii="Calibri" w:hAnsi="Calibri"/>
          <w:i/>
          <w:sz w:val="20"/>
          <w:szCs w:val="20"/>
        </w:rPr>
      </w:pPr>
      <w:r w:rsidRPr="00996C68">
        <w:rPr>
          <w:rFonts w:ascii="Calibri" w:hAnsi="Calibri" w:cs="Arial"/>
          <w:b/>
          <w:bCs/>
          <w:i/>
          <w:sz w:val="20"/>
          <w:szCs w:val="20"/>
        </w:rPr>
        <w:t>Statewide Management, Accounting and Reporting Tool</w:t>
      </w:r>
    </w:p>
    <w:p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218"/>
      </w:tblGrid>
      <w:tr w:rsidR="00AF2E3C" w:rsidRPr="000D2E9C" w:rsidTr="00BC5179">
        <w:tc>
          <w:tcPr>
            <w:tcW w:w="3240" w:type="dxa"/>
          </w:tcPr>
          <w:p w:rsidR="00AF2E3C" w:rsidRPr="000D2E9C" w:rsidRDefault="00AF2E3C" w:rsidP="00161D65">
            <w:pPr>
              <w:rPr>
                <w:rFonts w:ascii="Verdana" w:hAnsi="Verdana" w:cs="Arial"/>
                <w:b/>
                <w:noProof/>
              </w:rPr>
            </w:pPr>
            <w:r w:rsidRPr="000D2E9C">
              <w:rPr>
                <w:rFonts w:ascii="Verdana" w:hAnsi="Verdana" w:cs="Arial"/>
                <w:b/>
                <w:noProof/>
              </w:rPr>
              <w:t>Date Created:</w:t>
            </w:r>
          </w:p>
        </w:tc>
        <w:tc>
          <w:tcPr>
            <w:tcW w:w="7218" w:type="dxa"/>
          </w:tcPr>
          <w:p w:rsidR="003738F2" w:rsidRPr="000D2E9C" w:rsidRDefault="00BC5179" w:rsidP="00290E9D">
            <w:pPr>
              <w:rPr>
                <w:rFonts w:ascii="Verdana" w:hAnsi="Verdana" w:cs="Arial"/>
              </w:rPr>
            </w:pPr>
            <w:r w:rsidRPr="000D2E9C">
              <w:rPr>
                <w:rFonts w:ascii="Verdana" w:hAnsi="Verdana" w:cs="Arial"/>
              </w:rPr>
              <w:t>1/18/2013</w:t>
            </w:r>
          </w:p>
        </w:tc>
      </w:tr>
      <w:tr w:rsidR="00AF2E3C" w:rsidRPr="000D2E9C" w:rsidTr="00BC5179">
        <w:tc>
          <w:tcPr>
            <w:tcW w:w="3240" w:type="dxa"/>
          </w:tcPr>
          <w:p w:rsidR="00AF2E3C" w:rsidRPr="000D2E9C" w:rsidRDefault="00AF2E3C" w:rsidP="00161D65">
            <w:pPr>
              <w:rPr>
                <w:rFonts w:ascii="Verdana" w:hAnsi="Verdana" w:cs="Arial"/>
                <w:b/>
                <w:noProof/>
              </w:rPr>
            </w:pPr>
            <w:r w:rsidRPr="000D2E9C">
              <w:rPr>
                <w:rFonts w:ascii="Verdana" w:hAnsi="Verdana" w:cs="Arial"/>
                <w:b/>
                <w:noProof/>
              </w:rPr>
              <w:t>Version:</w:t>
            </w:r>
          </w:p>
        </w:tc>
        <w:tc>
          <w:tcPr>
            <w:tcW w:w="7218" w:type="dxa"/>
          </w:tcPr>
          <w:p w:rsidR="00AF2E3C" w:rsidRPr="000D2E9C" w:rsidRDefault="00BC5179" w:rsidP="00EE1A38">
            <w:pPr>
              <w:rPr>
                <w:rFonts w:ascii="Verdana" w:hAnsi="Verdana" w:cs="Arial"/>
              </w:rPr>
            </w:pPr>
            <w:r w:rsidRPr="000D2E9C">
              <w:rPr>
                <w:rFonts w:ascii="Verdana" w:hAnsi="Verdana" w:cs="Arial"/>
              </w:rPr>
              <w:t>1.1</w:t>
            </w:r>
          </w:p>
        </w:tc>
      </w:tr>
      <w:tr w:rsidR="003738F2" w:rsidRPr="000D2E9C" w:rsidTr="00BC5179">
        <w:tc>
          <w:tcPr>
            <w:tcW w:w="3240" w:type="dxa"/>
          </w:tcPr>
          <w:p w:rsidR="003738F2" w:rsidRPr="000D2E9C" w:rsidRDefault="003738F2" w:rsidP="00161D65">
            <w:pPr>
              <w:rPr>
                <w:rFonts w:ascii="Verdana" w:hAnsi="Verdana" w:cs="Arial"/>
                <w:b/>
                <w:noProof/>
              </w:rPr>
            </w:pPr>
            <w:r w:rsidRPr="000D2E9C">
              <w:rPr>
                <w:rFonts w:ascii="Verdana" w:hAnsi="Verdana" w:cs="Arial"/>
                <w:b/>
                <w:noProof/>
              </w:rPr>
              <w:t>Last Updated Date:</w:t>
            </w:r>
          </w:p>
        </w:tc>
        <w:tc>
          <w:tcPr>
            <w:tcW w:w="7218" w:type="dxa"/>
          </w:tcPr>
          <w:p w:rsidR="003738F2" w:rsidRPr="000D2E9C" w:rsidRDefault="00BC5179" w:rsidP="00254DE3">
            <w:pPr>
              <w:rPr>
                <w:rFonts w:ascii="Verdana" w:hAnsi="Verdana" w:cs="Arial"/>
              </w:rPr>
            </w:pPr>
            <w:r w:rsidRPr="000D2E9C">
              <w:rPr>
                <w:rFonts w:ascii="Verdana" w:hAnsi="Verdana" w:cs="Arial"/>
              </w:rPr>
              <w:t>10/27/2015</w:t>
            </w:r>
          </w:p>
        </w:tc>
      </w:tr>
      <w:tr w:rsidR="000B12F4" w:rsidRPr="000D2E9C" w:rsidTr="00BC5179">
        <w:tc>
          <w:tcPr>
            <w:tcW w:w="3240" w:type="dxa"/>
          </w:tcPr>
          <w:p w:rsidR="000B12F4" w:rsidRPr="000D2E9C" w:rsidRDefault="00BC5179" w:rsidP="00161D65">
            <w:pPr>
              <w:rPr>
                <w:rFonts w:ascii="Verdana" w:hAnsi="Verdana" w:cs="Arial"/>
                <w:b/>
                <w:noProof/>
              </w:rPr>
            </w:pPr>
            <w:r w:rsidRPr="000D2E9C">
              <w:rPr>
                <w:rFonts w:ascii="Verdana" w:hAnsi="Verdana" w:cs="Arial"/>
                <w:b/>
                <w:noProof/>
              </w:rPr>
              <w:t>Scenario</w:t>
            </w:r>
            <w:r w:rsidR="008C5D6D">
              <w:rPr>
                <w:rFonts w:ascii="Verdana" w:hAnsi="Verdana" w:cs="Arial"/>
                <w:b/>
                <w:noProof/>
              </w:rPr>
              <w:t>:</w:t>
            </w:r>
          </w:p>
        </w:tc>
        <w:tc>
          <w:tcPr>
            <w:tcW w:w="7218" w:type="dxa"/>
          </w:tcPr>
          <w:p w:rsidR="000B12F4" w:rsidRPr="000D2E9C" w:rsidRDefault="008C5D6D" w:rsidP="008C5D6D">
            <w:pPr>
              <w:rPr>
                <w:rFonts w:ascii="Verdana" w:hAnsi="Verdana" w:cs="Arial"/>
                <w:noProof/>
              </w:rPr>
            </w:pPr>
            <w:r>
              <w:rPr>
                <w:rFonts w:ascii="Verdana" w:hAnsi="Verdana" w:cs="Arial"/>
              </w:rPr>
              <w:t>An</w:t>
            </w:r>
            <w:r w:rsidR="00BC5179" w:rsidRPr="000D2E9C">
              <w:rPr>
                <w:rFonts w:ascii="Verdana" w:hAnsi="Verdana" w:cs="Arial"/>
              </w:rPr>
              <w:t xml:space="preserve"> increase in the fund</w:t>
            </w:r>
            <w:r>
              <w:rPr>
                <w:rFonts w:ascii="Verdana" w:hAnsi="Verdana" w:cs="Arial"/>
              </w:rPr>
              <w:t>ing amount of an award may result in a need to increase</w:t>
            </w:r>
            <w:r w:rsidR="00BC5179" w:rsidRPr="000D2E9C">
              <w:rPr>
                <w:rFonts w:ascii="Verdana" w:hAnsi="Verdana" w:cs="Arial"/>
              </w:rPr>
              <w:t xml:space="preserve"> the Billing and Revenue Limits on the Contract.  </w:t>
            </w:r>
            <w:r w:rsidR="006E1579" w:rsidRPr="000D2E9C">
              <w:rPr>
                <w:rFonts w:ascii="Verdana" w:hAnsi="Verdana" w:cs="Arial"/>
              </w:rPr>
              <w:t>If b</w:t>
            </w:r>
            <w:r w:rsidR="00BC5179" w:rsidRPr="000D2E9C">
              <w:rPr>
                <w:rFonts w:ascii="Verdana" w:hAnsi="Verdana" w:cs="Arial"/>
              </w:rPr>
              <w:t>illable transactions have been charged to a project exceeding the original billing limit establish</w:t>
            </w:r>
            <w:r w:rsidR="006E1579" w:rsidRPr="000D2E9C">
              <w:rPr>
                <w:rFonts w:ascii="Verdana" w:hAnsi="Verdana" w:cs="Arial"/>
              </w:rPr>
              <w:t>ed on the As Incurred contract and</w:t>
            </w:r>
            <w:r w:rsidR="00BC5179" w:rsidRPr="000D2E9C">
              <w:rPr>
                <w:rFonts w:ascii="Verdana" w:hAnsi="Verdana" w:cs="Arial"/>
              </w:rPr>
              <w:t xml:space="preserve"> the contract is not amended, this creates OLT rows on the project Transaction List (OLT = Over the Limit). The originating transaction will continue to process for payment, but the OLT rows sent to Projec</w:t>
            </w:r>
            <w:r>
              <w:rPr>
                <w:rFonts w:ascii="Verdana" w:hAnsi="Verdana" w:cs="Arial"/>
              </w:rPr>
              <w:t xml:space="preserve">t </w:t>
            </w:r>
            <w:r w:rsidR="00BC5179" w:rsidRPr="000D2E9C">
              <w:rPr>
                <w:rFonts w:ascii="Verdana" w:hAnsi="Verdana" w:cs="Arial"/>
              </w:rPr>
              <w:t>Costing will not be sent forward to the billing worksheet for reimbursement processing until the contract billing limit is increased to accommodate the over-the-limit dollars.</w:t>
            </w:r>
          </w:p>
        </w:tc>
      </w:tr>
      <w:tr w:rsidR="000B12F4" w:rsidRPr="000D2E9C" w:rsidTr="00BC5179">
        <w:tc>
          <w:tcPr>
            <w:tcW w:w="3240" w:type="dxa"/>
          </w:tcPr>
          <w:p w:rsidR="00BC5179" w:rsidRPr="000D2E9C" w:rsidRDefault="00BC5179" w:rsidP="00BC5179">
            <w:pPr>
              <w:pStyle w:val="ListParagraph"/>
              <w:spacing w:after="0" w:line="240" w:lineRule="auto"/>
              <w:ind w:left="0"/>
              <w:rPr>
                <w:rFonts w:ascii="Verdana" w:hAnsi="Verdana" w:cs="Arial"/>
                <w:sz w:val="24"/>
                <w:szCs w:val="24"/>
              </w:rPr>
            </w:pPr>
            <w:r w:rsidRPr="000D2E9C">
              <w:rPr>
                <w:rFonts w:ascii="Verdana" w:hAnsi="Verdana" w:cs="Arial"/>
                <w:noProof/>
                <w:sz w:val="24"/>
                <w:szCs w:val="24"/>
              </w:rPr>
              <w:t xml:space="preserve">Step 1.  </w:t>
            </w:r>
            <w:r w:rsidR="000D2E9C" w:rsidRPr="000D2E9C">
              <w:rPr>
                <w:rFonts w:ascii="Verdana" w:hAnsi="Verdana" w:cs="Arial"/>
                <w:noProof/>
                <w:sz w:val="24"/>
                <w:szCs w:val="24"/>
              </w:rPr>
              <w:t xml:space="preserve">Navigation: </w:t>
            </w:r>
            <w:r w:rsidR="00992388">
              <w:rPr>
                <w:rFonts w:ascii="Verdana" w:hAnsi="Verdana" w:cs="Arial"/>
                <w:noProof/>
                <w:sz w:val="24"/>
                <w:szCs w:val="24"/>
              </w:rPr>
              <w:t>Projects and Grants</w:t>
            </w:r>
            <w:r w:rsidR="000D2E9C" w:rsidRPr="000D2E9C">
              <w:rPr>
                <w:rFonts w:ascii="Verdana" w:hAnsi="Verdana" w:cs="Arial"/>
                <w:noProof/>
                <w:sz w:val="24"/>
                <w:szCs w:val="24"/>
              </w:rPr>
              <w:t xml:space="preserve"> </w:t>
            </w:r>
            <w:r w:rsidR="005F47B1">
              <w:rPr>
                <w:rFonts w:ascii="Verdana" w:hAnsi="Verdana" w:cs="Arial"/>
                <w:sz w:val="24"/>
                <w:szCs w:val="24"/>
              </w:rPr>
              <w:t>Homepa</w:t>
            </w:r>
            <w:r w:rsidR="00992388">
              <w:rPr>
                <w:rFonts w:ascii="Verdana" w:hAnsi="Verdana" w:cs="Arial"/>
                <w:sz w:val="24"/>
                <w:szCs w:val="24"/>
              </w:rPr>
              <w:t xml:space="preserve">ge </w:t>
            </w:r>
            <w:r w:rsidR="000D2E9C" w:rsidRPr="000D2E9C">
              <w:rPr>
                <w:rFonts w:ascii="Verdana" w:hAnsi="Verdana" w:cs="Arial"/>
                <w:sz w:val="24"/>
                <w:szCs w:val="24"/>
              </w:rPr>
              <w:t xml:space="preserve">&gt; </w:t>
            </w:r>
            <w:r w:rsidR="00992388">
              <w:rPr>
                <w:rFonts w:ascii="Verdana" w:hAnsi="Verdana" w:cs="Arial"/>
                <w:sz w:val="24"/>
                <w:szCs w:val="24"/>
              </w:rPr>
              <w:t xml:space="preserve">Project Costing &gt; </w:t>
            </w:r>
            <w:r w:rsidR="000D2E9C" w:rsidRPr="000D2E9C">
              <w:rPr>
                <w:rFonts w:ascii="Verdana" w:hAnsi="Verdana" w:cs="Arial"/>
                <w:sz w:val="24"/>
                <w:szCs w:val="24"/>
              </w:rPr>
              <w:t>Transaction</w:t>
            </w:r>
            <w:r w:rsidR="00DD2744">
              <w:rPr>
                <w:rFonts w:ascii="Verdana" w:hAnsi="Verdana" w:cs="Arial"/>
                <w:sz w:val="24"/>
                <w:szCs w:val="24"/>
              </w:rPr>
              <w:t xml:space="preserve"> Definitions &gt; Transaction List </w:t>
            </w:r>
            <w:r w:rsidR="00DD2744">
              <w:rPr>
                <w:rFonts w:ascii="Verdana" w:hAnsi="Verdana" w:cs="Arial"/>
                <w:b/>
                <w:sz w:val="24"/>
                <w:szCs w:val="24"/>
              </w:rPr>
              <w:t xml:space="preserve">or </w:t>
            </w:r>
            <w:r w:rsidR="00DD2744">
              <w:rPr>
                <w:rFonts w:ascii="Verdana" w:hAnsi="Verdana" w:cs="Arial"/>
                <w:sz w:val="24"/>
                <w:szCs w:val="24"/>
              </w:rPr>
              <w:t xml:space="preserve">Navigator &gt; </w:t>
            </w:r>
            <w:r w:rsidR="00DD2744" w:rsidRPr="000D2E9C">
              <w:rPr>
                <w:rFonts w:ascii="Verdana" w:hAnsi="Verdana" w:cs="Arial"/>
                <w:sz w:val="24"/>
                <w:szCs w:val="24"/>
              </w:rPr>
              <w:t xml:space="preserve">Project Costing &gt; Transaction Definitions &gt; Transaction List.  </w:t>
            </w:r>
            <w:r w:rsidR="000D2E9C" w:rsidRPr="000D2E9C">
              <w:rPr>
                <w:rFonts w:ascii="Verdana" w:hAnsi="Verdana" w:cs="Arial"/>
                <w:sz w:val="24"/>
                <w:szCs w:val="24"/>
              </w:rPr>
              <w:t xml:space="preserve">  </w:t>
            </w:r>
            <w:r w:rsidRPr="000D2E9C">
              <w:rPr>
                <w:rFonts w:ascii="Verdana" w:hAnsi="Verdana" w:cs="Arial"/>
                <w:sz w:val="24"/>
                <w:szCs w:val="24"/>
              </w:rPr>
              <w:t xml:space="preserve">Identify the amount of transaction rows in OLT status. This is the minimum amount the contract billing limit must be increased by to ensure the existing transactions will process for reimbursement, or the increase in </w:t>
            </w:r>
            <w:r w:rsidR="000D2E9C" w:rsidRPr="000D2E9C">
              <w:rPr>
                <w:rFonts w:ascii="Verdana" w:hAnsi="Verdana" w:cs="Arial"/>
                <w:sz w:val="24"/>
                <w:szCs w:val="24"/>
              </w:rPr>
              <w:t xml:space="preserve">funded amount of the contract.  </w:t>
            </w:r>
            <w:r w:rsidRPr="000D2E9C">
              <w:rPr>
                <w:rFonts w:ascii="Verdana" w:hAnsi="Verdana" w:cs="Arial"/>
                <w:sz w:val="24"/>
                <w:szCs w:val="24"/>
              </w:rPr>
              <w:t xml:space="preserve">Note the amount of all OLT rows that need to </w:t>
            </w:r>
            <w:r w:rsidRPr="000D2E9C">
              <w:rPr>
                <w:rFonts w:ascii="Verdana" w:hAnsi="Verdana" w:cs="Arial"/>
                <w:sz w:val="24"/>
                <w:szCs w:val="24"/>
              </w:rPr>
              <w:lastRenderedPageBreak/>
              <w:t>be processed through Billing.</w:t>
            </w:r>
          </w:p>
          <w:p w:rsidR="000B12F4" w:rsidRPr="000D2E9C" w:rsidRDefault="000B12F4" w:rsidP="0001126C">
            <w:pPr>
              <w:rPr>
                <w:rFonts w:ascii="Verdana" w:hAnsi="Verdana" w:cs="Arial"/>
                <w:noProof/>
              </w:rPr>
            </w:pPr>
          </w:p>
        </w:tc>
        <w:tc>
          <w:tcPr>
            <w:tcW w:w="7218" w:type="dxa"/>
          </w:tcPr>
          <w:p w:rsidR="000B12F4" w:rsidRPr="000D2E9C" w:rsidRDefault="005F47B1" w:rsidP="00BC5179">
            <w:pPr>
              <w:rPr>
                <w:rFonts w:ascii="Verdana" w:hAnsi="Verdana" w:cs="Arial"/>
                <w:noProof/>
              </w:rPr>
            </w:pPr>
            <w:r>
              <w:rPr>
                <w:rFonts w:ascii="Verdana" w:hAnsi="Verdana"/>
                <w:noProof/>
              </w:rPr>
              <w:lastRenderedPageBreak/>
              <w:drawing>
                <wp:inline distT="0" distB="0" distL="0" distR="0">
                  <wp:extent cx="4438650" cy="2571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2571750"/>
                          </a:xfrm>
                          <a:prstGeom prst="rect">
                            <a:avLst/>
                          </a:prstGeom>
                          <a:noFill/>
                          <a:ln>
                            <a:noFill/>
                          </a:ln>
                        </pic:spPr>
                      </pic:pic>
                    </a:graphicData>
                  </a:graphic>
                </wp:inline>
              </w:drawing>
            </w:r>
          </w:p>
        </w:tc>
      </w:tr>
      <w:tr w:rsidR="000B12F4" w:rsidRPr="000D2E9C" w:rsidTr="00BC5179">
        <w:tc>
          <w:tcPr>
            <w:tcW w:w="3240" w:type="dxa"/>
          </w:tcPr>
          <w:p w:rsidR="000B12F4" w:rsidRPr="000D2E9C" w:rsidRDefault="000B12F4" w:rsidP="00CC3C74">
            <w:pPr>
              <w:rPr>
                <w:rFonts w:ascii="Verdana" w:hAnsi="Verdana"/>
                <w:b/>
                <w:noProof/>
              </w:rPr>
            </w:pPr>
          </w:p>
        </w:tc>
        <w:tc>
          <w:tcPr>
            <w:tcW w:w="7218" w:type="dxa"/>
          </w:tcPr>
          <w:p w:rsidR="000B12F4" w:rsidRPr="000D2E9C" w:rsidRDefault="000B12F4" w:rsidP="00BC5179">
            <w:pPr>
              <w:rPr>
                <w:rFonts w:ascii="Verdana" w:hAnsi="Verdana"/>
                <w:noProof/>
              </w:rPr>
            </w:pPr>
          </w:p>
        </w:tc>
      </w:tr>
      <w:tr w:rsidR="00BC5179" w:rsidRPr="000D2E9C" w:rsidTr="00BC5179">
        <w:tc>
          <w:tcPr>
            <w:tcW w:w="3240" w:type="dxa"/>
          </w:tcPr>
          <w:p w:rsidR="00BC5179" w:rsidRPr="000D2E9C" w:rsidRDefault="00BC5179" w:rsidP="00BC5179">
            <w:pPr>
              <w:rPr>
                <w:rFonts w:ascii="Verdana" w:hAnsi="Verdana" w:cs="Arial"/>
              </w:rPr>
            </w:pPr>
            <w:r w:rsidRPr="000D2E9C">
              <w:rPr>
                <w:rFonts w:ascii="Verdana" w:hAnsi="Verdana" w:cs="Arial"/>
                <w:noProof/>
              </w:rPr>
              <w:t xml:space="preserve">Step 2.  </w:t>
            </w:r>
            <w:r w:rsidR="000D2E9C" w:rsidRPr="000D2E9C">
              <w:rPr>
                <w:rFonts w:ascii="Verdana" w:hAnsi="Verdana" w:cs="Arial"/>
              </w:rPr>
              <w:t xml:space="preserve">Navigation: </w:t>
            </w:r>
            <w:r w:rsidR="00992388">
              <w:rPr>
                <w:rFonts w:ascii="Verdana" w:hAnsi="Verdana" w:cs="Arial"/>
              </w:rPr>
              <w:t>Projects and Grants Homepage &gt;</w:t>
            </w:r>
            <w:r w:rsidR="000D2E9C" w:rsidRPr="000D2E9C">
              <w:rPr>
                <w:rFonts w:ascii="Verdana" w:hAnsi="Verdana" w:cs="Arial"/>
              </w:rPr>
              <w:t xml:space="preserve"> </w:t>
            </w:r>
            <w:r w:rsidRPr="000D2E9C">
              <w:rPr>
                <w:rFonts w:ascii="Verdana" w:hAnsi="Verdana" w:cs="Arial"/>
              </w:rPr>
              <w:t xml:space="preserve">Customer Contracts &gt; </w:t>
            </w:r>
            <w:r w:rsidR="00555025">
              <w:rPr>
                <w:rFonts w:ascii="Verdana" w:hAnsi="Verdana" w:cs="Arial"/>
              </w:rPr>
              <w:t>Customer Contracts &gt; General Information</w:t>
            </w:r>
            <w:r w:rsidR="00DD2744">
              <w:rPr>
                <w:rFonts w:ascii="Verdana" w:hAnsi="Verdana" w:cs="Arial"/>
              </w:rPr>
              <w:t xml:space="preserve"> </w:t>
            </w:r>
            <w:r w:rsidR="00DD2744">
              <w:rPr>
                <w:rFonts w:ascii="Verdana" w:hAnsi="Verdana" w:cs="Arial"/>
                <w:b/>
              </w:rPr>
              <w:t xml:space="preserve">or </w:t>
            </w:r>
            <w:r w:rsidR="00DD2744">
              <w:rPr>
                <w:rFonts w:ascii="Verdana" w:hAnsi="Verdana" w:cs="Arial"/>
              </w:rPr>
              <w:t xml:space="preserve">Navigator &gt; </w:t>
            </w:r>
            <w:r w:rsidR="00DD2744" w:rsidRPr="000D2E9C">
              <w:rPr>
                <w:rFonts w:ascii="Verdana" w:hAnsi="Verdana" w:cs="Arial"/>
              </w:rPr>
              <w:t xml:space="preserve">Customer Contracts &gt; Create and Amend &gt; General Information &gt; Lines tab.  </w:t>
            </w:r>
            <w:bookmarkStart w:id="0" w:name="_GoBack"/>
            <w:bookmarkEnd w:id="0"/>
            <w:r w:rsidRPr="000D2E9C">
              <w:rPr>
                <w:rFonts w:ascii="Verdana" w:hAnsi="Verdana" w:cs="Arial"/>
              </w:rPr>
              <w:t xml:space="preserve">  </w:t>
            </w:r>
            <w:r w:rsidR="000D2E9C" w:rsidRPr="000D2E9C">
              <w:rPr>
                <w:rFonts w:ascii="Verdana" w:hAnsi="Verdana" w:cs="Arial"/>
              </w:rPr>
              <w:t xml:space="preserve">Search for the associated contract to amend it and to view the existing billing limit.  </w:t>
            </w:r>
            <w:r w:rsidRPr="000D2E9C">
              <w:rPr>
                <w:rFonts w:ascii="Verdana" w:hAnsi="Verdana" w:cs="Arial"/>
              </w:rPr>
              <w:t xml:space="preserve">Using the Related </w:t>
            </w:r>
            <w:r w:rsidR="006E1579" w:rsidRPr="000D2E9C">
              <w:rPr>
                <w:rFonts w:ascii="Verdana" w:hAnsi="Verdana" w:cs="Arial"/>
              </w:rPr>
              <w:t xml:space="preserve">Action </w:t>
            </w:r>
            <w:r w:rsidRPr="000D2E9C">
              <w:rPr>
                <w:rFonts w:ascii="Verdana" w:hAnsi="Verdana" w:cs="Arial"/>
              </w:rPr>
              <w:t xml:space="preserve">Framework functionality on the Lines Tab, click the arrow beside </w:t>
            </w:r>
            <w:r w:rsidRPr="000D2E9C">
              <w:rPr>
                <w:rFonts w:ascii="Verdana" w:hAnsi="Verdana" w:cs="Arial"/>
                <w:i/>
              </w:rPr>
              <w:t>Actions</w:t>
            </w:r>
            <w:r w:rsidRPr="000D2E9C">
              <w:rPr>
                <w:rFonts w:ascii="Verdana" w:hAnsi="Verdana" w:cs="Arial"/>
              </w:rPr>
              <w:t xml:space="preserve"> and select </w:t>
            </w:r>
            <w:r w:rsidRPr="000D2E9C">
              <w:rPr>
                <w:rFonts w:ascii="Verdana" w:hAnsi="Verdana" w:cs="Arial"/>
                <w:i/>
              </w:rPr>
              <w:t>Define Contract Terms</w:t>
            </w:r>
            <w:r w:rsidRPr="000D2E9C">
              <w:rPr>
                <w:rFonts w:ascii="Verdana" w:hAnsi="Verdana" w:cs="Arial"/>
              </w:rPr>
              <w:t xml:space="preserve">.  Determine the amount you wish </w:t>
            </w:r>
            <w:r w:rsidR="006E1579" w:rsidRPr="000D2E9C">
              <w:rPr>
                <w:rFonts w:ascii="Verdana" w:hAnsi="Verdana" w:cs="Arial"/>
              </w:rPr>
              <w:t>to increase the billing limit</w:t>
            </w:r>
            <w:r w:rsidRPr="000D2E9C">
              <w:rPr>
                <w:rFonts w:ascii="Verdana" w:hAnsi="Verdana" w:cs="Arial"/>
              </w:rPr>
              <w:t>, keeping in mind any upcoming transactions that may need to be accounted for.</w:t>
            </w:r>
          </w:p>
          <w:p w:rsidR="00BC5179" w:rsidRPr="000D2E9C" w:rsidRDefault="00BC5179" w:rsidP="00BC5179">
            <w:pPr>
              <w:pStyle w:val="ListParagraph"/>
              <w:spacing w:after="0" w:line="240" w:lineRule="auto"/>
              <w:ind w:left="0"/>
              <w:rPr>
                <w:rFonts w:ascii="Verdana" w:hAnsi="Verdana"/>
                <w:sz w:val="24"/>
                <w:szCs w:val="24"/>
              </w:rPr>
            </w:pPr>
          </w:p>
          <w:p w:rsidR="00BC5179" w:rsidRPr="000D2E9C" w:rsidRDefault="00BC5179" w:rsidP="00CC3C74">
            <w:pPr>
              <w:rPr>
                <w:rFonts w:ascii="Verdana" w:hAnsi="Verdana"/>
                <w:noProof/>
              </w:rPr>
            </w:pPr>
          </w:p>
        </w:tc>
        <w:tc>
          <w:tcPr>
            <w:tcW w:w="7218" w:type="dxa"/>
          </w:tcPr>
          <w:p w:rsidR="00BC5179" w:rsidRPr="000D2E9C" w:rsidRDefault="005F47B1" w:rsidP="00BC5179">
            <w:pPr>
              <w:rPr>
                <w:rFonts w:ascii="Verdana" w:hAnsi="Verdana"/>
                <w:noProof/>
              </w:rPr>
            </w:pPr>
            <w:r>
              <w:rPr>
                <w:rFonts w:ascii="Verdana" w:hAnsi="Verdana"/>
                <w:noProof/>
              </w:rPr>
              <w:drawing>
                <wp:inline distT="0" distB="0" distL="0" distR="0">
                  <wp:extent cx="4524375" cy="2638425"/>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4375" cy="2638425"/>
                          </a:xfrm>
                          <a:prstGeom prst="rect">
                            <a:avLst/>
                          </a:prstGeom>
                          <a:noFill/>
                          <a:ln>
                            <a:noFill/>
                          </a:ln>
                        </pic:spPr>
                      </pic:pic>
                    </a:graphicData>
                  </a:graphic>
                </wp:inline>
              </w:drawing>
            </w:r>
          </w:p>
        </w:tc>
      </w:tr>
      <w:tr w:rsidR="00BC5179" w:rsidRPr="000D2E9C" w:rsidTr="00BC5179">
        <w:tc>
          <w:tcPr>
            <w:tcW w:w="3240" w:type="dxa"/>
          </w:tcPr>
          <w:p w:rsidR="00BC5179" w:rsidRPr="000D2E9C" w:rsidRDefault="00BC5179" w:rsidP="00BC5179">
            <w:pPr>
              <w:pStyle w:val="ListParagraph"/>
              <w:spacing w:after="0" w:line="240" w:lineRule="auto"/>
              <w:ind w:left="0"/>
              <w:rPr>
                <w:rFonts w:ascii="Verdana" w:hAnsi="Verdana"/>
                <w:noProof/>
                <w:sz w:val="24"/>
                <w:szCs w:val="24"/>
              </w:rPr>
            </w:pPr>
          </w:p>
        </w:tc>
        <w:tc>
          <w:tcPr>
            <w:tcW w:w="7218" w:type="dxa"/>
          </w:tcPr>
          <w:p w:rsidR="00BC5179" w:rsidRPr="000D2E9C" w:rsidRDefault="00BC5179" w:rsidP="00BC5179">
            <w:pPr>
              <w:rPr>
                <w:rFonts w:ascii="Verdana" w:hAnsi="Verdana"/>
                <w:noProof/>
              </w:rPr>
            </w:pPr>
          </w:p>
        </w:tc>
      </w:tr>
      <w:tr w:rsidR="00BC5179" w:rsidRPr="000D2E9C" w:rsidTr="00BC5179">
        <w:tc>
          <w:tcPr>
            <w:tcW w:w="3240" w:type="dxa"/>
          </w:tcPr>
          <w:p w:rsidR="00BC5179" w:rsidRPr="000D2E9C" w:rsidRDefault="00BC5179" w:rsidP="00BC5179">
            <w:pPr>
              <w:pStyle w:val="ListParagraph"/>
              <w:spacing w:after="0" w:line="240" w:lineRule="auto"/>
              <w:ind w:left="0"/>
              <w:rPr>
                <w:rFonts w:ascii="Verdana" w:hAnsi="Verdana"/>
                <w:sz w:val="24"/>
                <w:szCs w:val="24"/>
              </w:rPr>
            </w:pPr>
            <w:r w:rsidRPr="000D2E9C">
              <w:rPr>
                <w:rFonts w:ascii="Verdana" w:hAnsi="Verdana"/>
                <w:noProof/>
                <w:sz w:val="24"/>
                <w:szCs w:val="24"/>
              </w:rPr>
              <w:lastRenderedPageBreak/>
              <w:t xml:space="preserve">Step 3.  </w:t>
            </w:r>
            <w:r w:rsidRPr="000D2E9C">
              <w:rPr>
                <w:rFonts w:ascii="Verdana" w:hAnsi="Verdana"/>
                <w:sz w:val="24"/>
                <w:szCs w:val="24"/>
              </w:rPr>
              <w:t xml:space="preserve">Click the </w:t>
            </w:r>
            <w:r w:rsidRPr="000D2E9C">
              <w:rPr>
                <w:rFonts w:ascii="Verdana" w:hAnsi="Verdana"/>
                <w:i/>
                <w:sz w:val="24"/>
                <w:szCs w:val="24"/>
              </w:rPr>
              <w:t>Amend Contract</w:t>
            </w:r>
            <w:r w:rsidRPr="000D2E9C">
              <w:rPr>
                <w:rFonts w:ascii="Verdana" w:hAnsi="Verdana"/>
                <w:sz w:val="24"/>
                <w:szCs w:val="24"/>
              </w:rPr>
              <w:t xml:space="preserve"> button on the Related Projects page to initiate the amendment. </w:t>
            </w:r>
            <w:r w:rsidR="006E1579" w:rsidRPr="000D2E9C">
              <w:rPr>
                <w:rFonts w:ascii="Verdana" w:hAnsi="Verdana"/>
                <w:sz w:val="24"/>
                <w:szCs w:val="24"/>
              </w:rPr>
              <w:t>On the Contract Amendments page, enter an</w:t>
            </w:r>
            <w:r w:rsidRPr="000D2E9C">
              <w:rPr>
                <w:rFonts w:ascii="Verdana" w:hAnsi="Verdana"/>
                <w:i/>
                <w:sz w:val="24"/>
                <w:szCs w:val="24"/>
              </w:rPr>
              <w:t xml:space="preserve"> Amendment Type </w:t>
            </w:r>
            <w:r w:rsidRPr="000D2E9C">
              <w:rPr>
                <w:rFonts w:ascii="Verdana" w:hAnsi="Verdana"/>
                <w:sz w:val="24"/>
                <w:szCs w:val="24"/>
              </w:rPr>
              <w:t xml:space="preserve">and </w:t>
            </w:r>
            <w:r w:rsidRPr="000D2E9C">
              <w:rPr>
                <w:rFonts w:ascii="Verdana" w:hAnsi="Verdana"/>
                <w:i/>
                <w:sz w:val="24"/>
                <w:szCs w:val="24"/>
              </w:rPr>
              <w:t>Reason</w:t>
            </w:r>
            <w:r w:rsidRPr="000D2E9C">
              <w:rPr>
                <w:rFonts w:ascii="Verdana" w:hAnsi="Verdana"/>
                <w:sz w:val="24"/>
                <w:szCs w:val="24"/>
              </w:rPr>
              <w:t xml:space="preserve">.  Click </w:t>
            </w:r>
            <w:r w:rsidRPr="000D2E9C">
              <w:rPr>
                <w:rFonts w:ascii="Verdana" w:hAnsi="Verdana"/>
                <w:i/>
                <w:sz w:val="24"/>
                <w:szCs w:val="24"/>
              </w:rPr>
              <w:t>Save</w:t>
            </w:r>
            <w:r w:rsidRPr="000D2E9C">
              <w:rPr>
                <w:rFonts w:ascii="Verdana" w:hAnsi="Verdana"/>
                <w:sz w:val="24"/>
                <w:szCs w:val="24"/>
              </w:rPr>
              <w:t>.</w:t>
            </w:r>
          </w:p>
          <w:p w:rsidR="00BC5179" w:rsidRPr="000D2E9C" w:rsidRDefault="00BC5179" w:rsidP="00BC5179">
            <w:pPr>
              <w:pStyle w:val="ListParagraph"/>
              <w:spacing w:after="0" w:line="240" w:lineRule="auto"/>
              <w:ind w:left="0"/>
              <w:rPr>
                <w:rFonts w:ascii="Verdana" w:hAnsi="Verdana"/>
                <w:noProof/>
                <w:sz w:val="24"/>
                <w:szCs w:val="24"/>
              </w:rPr>
            </w:pPr>
          </w:p>
        </w:tc>
        <w:tc>
          <w:tcPr>
            <w:tcW w:w="7218" w:type="dxa"/>
          </w:tcPr>
          <w:p w:rsidR="00BC5179" w:rsidRPr="000D2E9C" w:rsidRDefault="005F47B1" w:rsidP="00BC5179">
            <w:pPr>
              <w:rPr>
                <w:rFonts w:ascii="Verdana" w:hAnsi="Verdana"/>
                <w:noProof/>
              </w:rPr>
            </w:pPr>
            <w:r>
              <w:rPr>
                <w:rFonts w:ascii="Verdana" w:hAnsi="Verdana"/>
                <w:noProof/>
              </w:rPr>
              <w:drawing>
                <wp:inline distT="0" distB="0" distL="0" distR="0">
                  <wp:extent cx="4505325" cy="257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2571750"/>
                          </a:xfrm>
                          <a:prstGeom prst="rect">
                            <a:avLst/>
                          </a:prstGeom>
                          <a:noFill/>
                          <a:ln>
                            <a:noFill/>
                          </a:ln>
                        </pic:spPr>
                      </pic:pic>
                    </a:graphicData>
                  </a:graphic>
                </wp:inline>
              </w:drawing>
            </w:r>
          </w:p>
        </w:tc>
      </w:tr>
      <w:tr w:rsidR="00BC5179" w:rsidRPr="000D2E9C" w:rsidTr="00BC5179">
        <w:tc>
          <w:tcPr>
            <w:tcW w:w="3240" w:type="dxa"/>
          </w:tcPr>
          <w:p w:rsidR="00BC5179" w:rsidRPr="000D2E9C" w:rsidRDefault="00BC5179" w:rsidP="00BC5179">
            <w:pPr>
              <w:pStyle w:val="ListParagraph"/>
              <w:spacing w:after="0" w:line="240" w:lineRule="auto"/>
              <w:ind w:left="0"/>
              <w:rPr>
                <w:rFonts w:ascii="Verdana" w:hAnsi="Verdana"/>
                <w:noProof/>
                <w:sz w:val="24"/>
                <w:szCs w:val="24"/>
              </w:rPr>
            </w:pPr>
          </w:p>
        </w:tc>
        <w:tc>
          <w:tcPr>
            <w:tcW w:w="7218" w:type="dxa"/>
          </w:tcPr>
          <w:p w:rsidR="00BC5179" w:rsidRPr="000D2E9C" w:rsidRDefault="00BC5179" w:rsidP="00BC5179">
            <w:pPr>
              <w:rPr>
                <w:rFonts w:ascii="Verdana" w:hAnsi="Verdana"/>
                <w:noProof/>
              </w:rPr>
            </w:pPr>
          </w:p>
        </w:tc>
      </w:tr>
      <w:tr w:rsidR="00BC5179" w:rsidRPr="000D2E9C" w:rsidTr="00BC5179">
        <w:tc>
          <w:tcPr>
            <w:tcW w:w="3240" w:type="dxa"/>
          </w:tcPr>
          <w:p w:rsidR="00BC5179" w:rsidRPr="000D2E9C" w:rsidRDefault="00BC5179" w:rsidP="00BC5179">
            <w:pPr>
              <w:pStyle w:val="ListParagraph"/>
              <w:spacing w:after="0" w:line="240" w:lineRule="auto"/>
              <w:ind w:left="0"/>
              <w:rPr>
                <w:rFonts w:ascii="Verdana" w:hAnsi="Verdana"/>
                <w:sz w:val="24"/>
                <w:szCs w:val="24"/>
              </w:rPr>
            </w:pPr>
            <w:r w:rsidRPr="000D2E9C">
              <w:rPr>
                <w:rFonts w:ascii="Verdana" w:hAnsi="Verdana"/>
                <w:sz w:val="24"/>
                <w:szCs w:val="24"/>
              </w:rPr>
              <w:t xml:space="preserve">Step 4.  Click back on the Related Projects tab.  Select the </w:t>
            </w:r>
            <w:r w:rsidRPr="000D2E9C">
              <w:rPr>
                <w:rFonts w:ascii="Verdana" w:hAnsi="Verdana"/>
                <w:i/>
                <w:sz w:val="24"/>
                <w:szCs w:val="24"/>
              </w:rPr>
              <w:t>Amount Allocation</w:t>
            </w:r>
            <w:r w:rsidRPr="000D2E9C">
              <w:rPr>
                <w:rFonts w:ascii="Verdana" w:hAnsi="Verdana"/>
                <w:sz w:val="24"/>
                <w:szCs w:val="24"/>
              </w:rPr>
              <w:t xml:space="preserve"> hyperlink.</w:t>
            </w:r>
          </w:p>
          <w:p w:rsidR="00BC5179" w:rsidRPr="000D2E9C" w:rsidRDefault="00BC5179" w:rsidP="00BC5179">
            <w:pPr>
              <w:pStyle w:val="ListParagraph"/>
              <w:spacing w:after="0" w:line="240" w:lineRule="auto"/>
              <w:ind w:left="0"/>
              <w:rPr>
                <w:rFonts w:ascii="Verdana" w:hAnsi="Verdana"/>
                <w:noProof/>
                <w:sz w:val="24"/>
                <w:szCs w:val="24"/>
              </w:rPr>
            </w:pPr>
          </w:p>
        </w:tc>
        <w:tc>
          <w:tcPr>
            <w:tcW w:w="7218" w:type="dxa"/>
          </w:tcPr>
          <w:p w:rsidR="00BC5179" w:rsidRPr="000D2E9C" w:rsidRDefault="005F47B1" w:rsidP="00BC5179">
            <w:pPr>
              <w:rPr>
                <w:rFonts w:ascii="Verdana" w:hAnsi="Verdana"/>
                <w:noProof/>
              </w:rPr>
            </w:pPr>
            <w:r>
              <w:rPr>
                <w:rFonts w:ascii="Verdana" w:hAnsi="Verdana"/>
                <w:noProof/>
              </w:rPr>
              <w:drawing>
                <wp:inline distT="0" distB="0" distL="0" distR="0">
                  <wp:extent cx="4457700" cy="3552825"/>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3552825"/>
                          </a:xfrm>
                          <a:prstGeom prst="rect">
                            <a:avLst/>
                          </a:prstGeom>
                          <a:noFill/>
                          <a:ln>
                            <a:noFill/>
                          </a:ln>
                        </pic:spPr>
                      </pic:pic>
                    </a:graphicData>
                  </a:graphic>
                </wp:inline>
              </w:drawing>
            </w:r>
          </w:p>
        </w:tc>
      </w:tr>
      <w:tr w:rsidR="008F4AD8" w:rsidRPr="000D2E9C" w:rsidTr="00BC5179">
        <w:tc>
          <w:tcPr>
            <w:tcW w:w="3240" w:type="dxa"/>
          </w:tcPr>
          <w:p w:rsidR="008F4AD8" w:rsidRPr="000D2E9C" w:rsidRDefault="008F4AD8" w:rsidP="00BC5179">
            <w:pPr>
              <w:pStyle w:val="ListParagraph"/>
              <w:spacing w:after="0" w:line="240" w:lineRule="auto"/>
              <w:ind w:left="0"/>
              <w:rPr>
                <w:rFonts w:ascii="Verdana" w:hAnsi="Verdana"/>
                <w:sz w:val="24"/>
                <w:szCs w:val="24"/>
              </w:rPr>
            </w:pPr>
          </w:p>
        </w:tc>
        <w:tc>
          <w:tcPr>
            <w:tcW w:w="7218" w:type="dxa"/>
          </w:tcPr>
          <w:p w:rsidR="008F4AD8" w:rsidRPr="000D2E9C" w:rsidRDefault="008F4AD8" w:rsidP="00BC5179">
            <w:pPr>
              <w:rPr>
                <w:rFonts w:ascii="Verdana" w:hAnsi="Verdana"/>
                <w:noProof/>
              </w:rPr>
            </w:pPr>
          </w:p>
        </w:tc>
      </w:tr>
      <w:tr w:rsidR="008F4AD8" w:rsidRPr="000D2E9C" w:rsidTr="00BC5179">
        <w:tc>
          <w:tcPr>
            <w:tcW w:w="3240" w:type="dxa"/>
          </w:tcPr>
          <w:p w:rsidR="008F4AD8" w:rsidRPr="000D2E9C" w:rsidRDefault="008F4AD8" w:rsidP="008F4AD8">
            <w:pPr>
              <w:rPr>
                <w:rFonts w:ascii="Verdana" w:hAnsi="Verdana"/>
              </w:rPr>
            </w:pPr>
            <w:r w:rsidRPr="000D2E9C">
              <w:rPr>
                <w:rFonts w:ascii="Verdana" w:hAnsi="Verdana"/>
              </w:rPr>
              <w:lastRenderedPageBreak/>
              <w:t xml:space="preserve">Step 5.  Enter </w:t>
            </w:r>
            <w:r w:rsidR="008C5D6D" w:rsidRPr="000D2E9C">
              <w:rPr>
                <w:rFonts w:ascii="Verdana" w:hAnsi="Verdana"/>
              </w:rPr>
              <w:t xml:space="preserve">the </w:t>
            </w:r>
            <w:r w:rsidR="008C5D6D" w:rsidRPr="000D2E9C">
              <w:rPr>
                <w:rFonts w:ascii="Verdana" w:hAnsi="Verdana"/>
                <w:i/>
              </w:rPr>
              <w:t>New Billing Limit</w:t>
            </w:r>
            <w:r w:rsidR="008C5D6D" w:rsidRPr="000D2E9C">
              <w:rPr>
                <w:rFonts w:ascii="Verdana" w:hAnsi="Verdana"/>
              </w:rPr>
              <w:t xml:space="preserve"> and </w:t>
            </w:r>
            <w:r w:rsidRPr="000D2E9C">
              <w:rPr>
                <w:rFonts w:ascii="Verdana" w:hAnsi="Verdana"/>
              </w:rPr>
              <w:t xml:space="preserve">the amount of increase in the </w:t>
            </w:r>
            <w:r w:rsidRPr="000D2E9C">
              <w:rPr>
                <w:rFonts w:ascii="Verdana" w:hAnsi="Verdana"/>
                <w:i/>
              </w:rPr>
              <w:t>Total Billing Adjustment</w:t>
            </w:r>
            <w:r w:rsidR="006E1579" w:rsidRPr="000D2E9C">
              <w:rPr>
                <w:rFonts w:ascii="Verdana" w:hAnsi="Verdana"/>
              </w:rPr>
              <w:t>.  C</w:t>
            </w:r>
            <w:r w:rsidRPr="000D2E9C">
              <w:rPr>
                <w:rFonts w:ascii="Verdana" w:hAnsi="Verdana"/>
              </w:rPr>
              <w:t xml:space="preserve">lick the </w:t>
            </w:r>
            <w:r w:rsidRPr="000D2E9C">
              <w:rPr>
                <w:rFonts w:ascii="Verdana" w:hAnsi="Verdana"/>
                <w:i/>
              </w:rPr>
              <w:t>Recalculate</w:t>
            </w:r>
            <w:r w:rsidRPr="000D2E9C">
              <w:rPr>
                <w:rFonts w:ascii="Verdana" w:hAnsi="Verdana"/>
              </w:rPr>
              <w:t xml:space="preserve"> button.  Verify the </w:t>
            </w:r>
            <w:r w:rsidRPr="000D2E9C">
              <w:rPr>
                <w:rFonts w:ascii="Verdana" w:hAnsi="Verdana"/>
                <w:i/>
              </w:rPr>
              <w:t>Unallocated Billing</w:t>
            </w:r>
            <w:r w:rsidRPr="000D2E9C">
              <w:rPr>
                <w:rFonts w:ascii="Verdana" w:hAnsi="Verdana"/>
              </w:rPr>
              <w:t xml:space="preserve"> equals </w:t>
            </w:r>
            <w:r w:rsidRPr="000D2E9C">
              <w:rPr>
                <w:rFonts w:ascii="Verdana" w:hAnsi="Verdana"/>
                <w:i/>
              </w:rPr>
              <w:t>0.00</w:t>
            </w:r>
            <w:r w:rsidRPr="000D2E9C">
              <w:rPr>
                <w:rFonts w:ascii="Verdana" w:hAnsi="Verdana"/>
              </w:rPr>
              <w:t xml:space="preserve"> and the </w:t>
            </w:r>
            <w:r w:rsidRPr="000D2E9C">
              <w:rPr>
                <w:rFonts w:ascii="Verdana" w:hAnsi="Verdana"/>
                <w:i/>
              </w:rPr>
              <w:t>Allocation</w:t>
            </w:r>
            <w:r w:rsidRPr="000D2E9C">
              <w:rPr>
                <w:rFonts w:ascii="Verdana" w:hAnsi="Verdana"/>
              </w:rPr>
              <w:t xml:space="preserve"> is </w:t>
            </w:r>
            <w:r w:rsidRPr="000D2E9C">
              <w:rPr>
                <w:rFonts w:ascii="Verdana" w:hAnsi="Verdana"/>
                <w:b/>
                <w:i/>
              </w:rPr>
              <w:t>Complete</w:t>
            </w:r>
            <w:r w:rsidRPr="000D2E9C">
              <w:rPr>
                <w:rFonts w:ascii="Verdana" w:hAnsi="Verdana"/>
              </w:rPr>
              <w:t xml:space="preserve">.  Scroll down and click </w:t>
            </w:r>
            <w:r w:rsidRPr="000D2E9C">
              <w:rPr>
                <w:rFonts w:ascii="Verdana" w:hAnsi="Verdana"/>
                <w:i/>
              </w:rPr>
              <w:t>Save</w:t>
            </w:r>
            <w:r w:rsidRPr="000D2E9C">
              <w:rPr>
                <w:rFonts w:ascii="Verdana" w:hAnsi="Verdana"/>
              </w:rPr>
              <w:t xml:space="preserve"> in the </w:t>
            </w:r>
            <w:r w:rsidRPr="00D830C9">
              <w:rPr>
                <w:rFonts w:ascii="Verdana" w:hAnsi="Verdana"/>
                <w:i/>
              </w:rPr>
              <w:t>Related Content</w:t>
            </w:r>
            <w:r w:rsidRPr="000D2E9C">
              <w:rPr>
                <w:rFonts w:ascii="Verdana" w:hAnsi="Verdana"/>
              </w:rPr>
              <w:t xml:space="preserve"> window.  </w:t>
            </w:r>
          </w:p>
          <w:p w:rsidR="008F4AD8" w:rsidRPr="000D2E9C" w:rsidRDefault="008F4AD8" w:rsidP="00BC5179">
            <w:pPr>
              <w:pStyle w:val="ListParagraph"/>
              <w:spacing w:after="0" w:line="240" w:lineRule="auto"/>
              <w:ind w:left="0"/>
              <w:rPr>
                <w:rFonts w:ascii="Verdana" w:hAnsi="Verdana"/>
                <w:sz w:val="24"/>
                <w:szCs w:val="24"/>
              </w:rPr>
            </w:pPr>
          </w:p>
        </w:tc>
        <w:tc>
          <w:tcPr>
            <w:tcW w:w="7218" w:type="dxa"/>
          </w:tcPr>
          <w:p w:rsidR="008F4AD8" w:rsidRPr="000D2E9C" w:rsidRDefault="005F47B1" w:rsidP="00BC5179">
            <w:pPr>
              <w:rPr>
                <w:rFonts w:ascii="Verdana" w:hAnsi="Verdana"/>
                <w:noProof/>
              </w:rPr>
            </w:pPr>
            <w:r>
              <w:rPr>
                <w:rFonts w:ascii="Verdana" w:hAnsi="Verdana"/>
                <w:noProof/>
              </w:rPr>
              <w:drawing>
                <wp:inline distT="0" distB="0" distL="0" distR="0">
                  <wp:extent cx="4438650" cy="321945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8650" cy="3219450"/>
                          </a:xfrm>
                          <a:prstGeom prst="rect">
                            <a:avLst/>
                          </a:prstGeom>
                          <a:noFill/>
                          <a:ln>
                            <a:noFill/>
                          </a:ln>
                        </pic:spPr>
                      </pic:pic>
                    </a:graphicData>
                  </a:graphic>
                </wp:inline>
              </w:drawing>
            </w:r>
          </w:p>
        </w:tc>
      </w:tr>
      <w:tr w:rsidR="008F4AD8" w:rsidRPr="000D2E9C" w:rsidTr="00BC5179">
        <w:tc>
          <w:tcPr>
            <w:tcW w:w="3240" w:type="dxa"/>
          </w:tcPr>
          <w:p w:rsidR="008F4AD8" w:rsidRPr="000D2E9C" w:rsidRDefault="008F4AD8" w:rsidP="008F4AD8">
            <w:pPr>
              <w:rPr>
                <w:rFonts w:ascii="Verdana" w:hAnsi="Verdana"/>
              </w:rPr>
            </w:pPr>
          </w:p>
        </w:tc>
        <w:tc>
          <w:tcPr>
            <w:tcW w:w="7218" w:type="dxa"/>
          </w:tcPr>
          <w:p w:rsidR="008F4AD8" w:rsidRPr="000D2E9C" w:rsidRDefault="008F4AD8" w:rsidP="00BC5179">
            <w:pPr>
              <w:rPr>
                <w:rFonts w:ascii="Verdana" w:hAnsi="Verdana"/>
                <w:noProof/>
              </w:rPr>
            </w:pPr>
          </w:p>
        </w:tc>
      </w:tr>
      <w:tr w:rsidR="008F4AD8" w:rsidRPr="000D2E9C" w:rsidTr="00BC5179">
        <w:tc>
          <w:tcPr>
            <w:tcW w:w="3240" w:type="dxa"/>
          </w:tcPr>
          <w:p w:rsidR="008F4AD8" w:rsidRPr="000D2E9C" w:rsidRDefault="008F4AD8" w:rsidP="008F4AD8">
            <w:pPr>
              <w:pStyle w:val="ListParagraph"/>
              <w:spacing w:after="0" w:line="240" w:lineRule="auto"/>
              <w:ind w:left="0"/>
              <w:rPr>
                <w:rFonts w:ascii="Verdana" w:hAnsi="Verdana"/>
                <w:sz w:val="24"/>
                <w:szCs w:val="24"/>
              </w:rPr>
            </w:pPr>
            <w:r w:rsidRPr="000D2E9C">
              <w:rPr>
                <w:rFonts w:ascii="Verdana" w:hAnsi="Verdana"/>
                <w:sz w:val="24"/>
                <w:szCs w:val="24"/>
              </w:rPr>
              <w:t xml:space="preserve">Step 6.  Click on </w:t>
            </w:r>
            <w:r w:rsidRPr="000D2E9C">
              <w:rPr>
                <w:rFonts w:ascii="Verdana" w:hAnsi="Verdana"/>
                <w:i/>
                <w:sz w:val="24"/>
                <w:szCs w:val="24"/>
              </w:rPr>
              <w:t>the Contract Amendments</w:t>
            </w:r>
            <w:r w:rsidRPr="000D2E9C">
              <w:rPr>
                <w:rFonts w:ascii="Verdana" w:hAnsi="Verdana"/>
                <w:sz w:val="24"/>
                <w:szCs w:val="24"/>
              </w:rPr>
              <w:t xml:space="preserve"> tab at the top of the page and click on the Details link on the amendment line to enter the Amendment Details page.</w:t>
            </w:r>
          </w:p>
          <w:p w:rsidR="008F4AD8" w:rsidRPr="000D2E9C" w:rsidRDefault="008F4AD8" w:rsidP="008F4AD8">
            <w:pPr>
              <w:rPr>
                <w:rFonts w:ascii="Verdana" w:hAnsi="Verdana"/>
              </w:rPr>
            </w:pPr>
          </w:p>
        </w:tc>
        <w:tc>
          <w:tcPr>
            <w:tcW w:w="7218" w:type="dxa"/>
          </w:tcPr>
          <w:p w:rsidR="008F4AD8" w:rsidRPr="000D2E9C" w:rsidRDefault="005F47B1" w:rsidP="00BC5179">
            <w:pPr>
              <w:rPr>
                <w:rFonts w:ascii="Verdana" w:hAnsi="Verdana"/>
                <w:noProof/>
              </w:rPr>
            </w:pPr>
            <w:r>
              <w:rPr>
                <w:rFonts w:ascii="Verdana" w:hAnsi="Verdana"/>
                <w:noProof/>
              </w:rPr>
              <w:drawing>
                <wp:inline distT="0" distB="0" distL="0" distR="0">
                  <wp:extent cx="4467225" cy="1962150"/>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7225" cy="1962150"/>
                          </a:xfrm>
                          <a:prstGeom prst="rect">
                            <a:avLst/>
                          </a:prstGeom>
                          <a:noFill/>
                          <a:ln>
                            <a:noFill/>
                          </a:ln>
                        </pic:spPr>
                      </pic:pic>
                    </a:graphicData>
                  </a:graphic>
                </wp:inline>
              </w:drawing>
            </w:r>
          </w:p>
        </w:tc>
      </w:tr>
      <w:tr w:rsidR="008F4AD8" w:rsidRPr="000D2E9C" w:rsidTr="00BC5179">
        <w:tc>
          <w:tcPr>
            <w:tcW w:w="3240" w:type="dxa"/>
          </w:tcPr>
          <w:p w:rsidR="008F4AD8" w:rsidRPr="000D2E9C" w:rsidRDefault="008F4AD8" w:rsidP="008F4AD8">
            <w:pPr>
              <w:pStyle w:val="ListParagraph"/>
              <w:spacing w:after="0" w:line="240" w:lineRule="auto"/>
              <w:ind w:left="0"/>
              <w:rPr>
                <w:rFonts w:ascii="Verdana" w:hAnsi="Verdana"/>
                <w:sz w:val="24"/>
                <w:szCs w:val="24"/>
              </w:rPr>
            </w:pPr>
          </w:p>
        </w:tc>
        <w:tc>
          <w:tcPr>
            <w:tcW w:w="7218" w:type="dxa"/>
          </w:tcPr>
          <w:p w:rsidR="008F4AD8" w:rsidRPr="000D2E9C" w:rsidRDefault="008F4AD8" w:rsidP="00BC5179">
            <w:pPr>
              <w:rPr>
                <w:rFonts w:ascii="Verdana" w:hAnsi="Verdana"/>
                <w:noProof/>
              </w:rPr>
            </w:pPr>
          </w:p>
        </w:tc>
      </w:tr>
      <w:tr w:rsidR="008F4AD8" w:rsidRPr="000D2E9C" w:rsidTr="00BC5179">
        <w:tc>
          <w:tcPr>
            <w:tcW w:w="3240" w:type="dxa"/>
          </w:tcPr>
          <w:p w:rsidR="008F4AD8" w:rsidRPr="000D2E9C" w:rsidRDefault="008F4AD8" w:rsidP="008F4AD8">
            <w:pPr>
              <w:pStyle w:val="ListParagraph"/>
              <w:spacing w:after="0" w:line="240" w:lineRule="auto"/>
              <w:ind w:left="0"/>
              <w:rPr>
                <w:rFonts w:ascii="Verdana" w:hAnsi="Verdana"/>
                <w:sz w:val="24"/>
                <w:szCs w:val="24"/>
              </w:rPr>
            </w:pPr>
            <w:r w:rsidRPr="000D2E9C">
              <w:rPr>
                <w:rFonts w:ascii="Verdana" w:hAnsi="Verdana"/>
                <w:sz w:val="24"/>
                <w:szCs w:val="24"/>
              </w:rPr>
              <w:t xml:space="preserve">Step 7.  Note the revised Billing and Revenue Limits.  Toggle the Pending status to </w:t>
            </w:r>
            <w:r w:rsidRPr="000D2E9C">
              <w:rPr>
                <w:rFonts w:ascii="Verdana" w:hAnsi="Verdana"/>
                <w:i/>
                <w:sz w:val="24"/>
                <w:szCs w:val="24"/>
              </w:rPr>
              <w:t>Ready</w:t>
            </w:r>
            <w:r w:rsidRPr="000D2E9C">
              <w:rPr>
                <w:rFonts w:ascii="Verdana" w:hAnsi="Verdana"/>
                <w:sz w:val="24"/>
                <w:szCs w:val="24"/>
              </w:rPr>
              <w:t xml:space="preserve">.   The </w:t>
            </w:r>
            <w:r w:rsidRPr="000D2E9C">
              <w:rPr>
                <w:rFonts w:ascii="Verdana" w:hAnsi="Verdana"/>
                <w:i/>
                <w:sz w:val="24"/>
                <w:szCs w:val="24"/>
              </w:rPr>
              <w:t>Process Amendment</w:t>
            </w:r>
            <w:r w:rsidRPr="000D2E9C">
              <w:rPr>
                <w:rFonts w:ascii="Verdana" w:hAnsi="Verdana"/>
                <w:sz w:val="24"/>
                <w:szCs w:val="24"/>
              </w:rPr>
              <w:t xml:space="preserve"> button appears.</w:t>
            </w:r>
          </w:p>
          <w:p w:rsidR="008F4AD8" w:rsidRPr="000D2E9C" w:rsidRDefault="008F4AD8" w:rsidP="008F4AD8">
            <w:pPr>
              <w:rPr>
                <w:rFonts w:ascii="Verdana" w:hAnsi="Verdana"/>
              </w:rPr>
            </w:pPr>
          </w:p>
          <w:p w:rsidR="008F4AD8" w:rsidRPr="000D2E9C" w:rsidRDefault="008F4AD8" w:rsidP="008F4AD8">
            <w:pPr>
              <w:pStyle w:val="ListParagraph"/>
              <w:spacing w:after="0" w:line="240" w:lineRule="auto"/>
              <w:ind w:left="0"/>
              <w:rPr>
                <w:rFonts w:ascii="Verdana" w:hAnsi="Verdana"/>
                <w:sz w:val="24"/>
                <w:szCs w:val="24"/>
              </w:rPr>
            </w:pPr>
          </w:p>
        </w:tc>
        <w:tc>
          <w:tcPr>
            <w:tcW w:w="7218" w:type="dxa"/>
          </w:tcPr>
          <w:p w:rsidR="008F4AD8" w:rsidRPr="000D2E9C" w:rsidRDefault="005F47B1" w:rsidP="00BC5179">
            <w:pPr>
              <w:rPr>
                <w:rFonts w:ascii="Verdana" w:hAnsi="Verdana"/>
                <w:noProof/>
              </w:rPr>
            </w:pPr>
            <w:r>
              <w:rPr>
                <w:rFonts w:ascii="Verdana" w:hAnsi="Verdana"/>
                <w:noProof/>
              </w:rPr>
              <w:drawing>
                <wp:inline distT="0" distB="0" distL="0" distR="0">
                  <wp:extent cx="4486275" cy="2676525"/>
                  <wp:effectExtent l="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6275" cy="2676525"/>
                          </a:xfrm>
                          <a:prstGeom prst="rect">
                            <a:avLst/>
                          </a:prstGeom>
                          <a:noFill/>
                          <a:ln>
                            <a:noFill/>
                          </a:ln>
                        </pic:spPr>
                      </pic:pic>
                    </a:graphicData>
                  </a:graphic>
                </wp:inline>
              </w:drawing>
            </w:r>
          </w:p>
        </w:tc>
      </w:tr>
      <w:tr w:rsidR="008F4AD8" w:rsidRPr="000D2E9C" w:rsidTr="00BC5179">
        <w:tc>
          <w:tcPr>
            <w:tcW w:w="3240" w:type="dxa"/>
          </w:tcPr>
          <w:p w:rsidR="008F4AD8" w:rsidRPr="000D2E9C" w:rsidRDefault="008F4AD8" w:rsidP="008F4AD8">
            <w:pPr>
              <w:pStyle w:val="ListParagraph"/>
              <w:spacing w:after="0" w:line="240" w:lineRule="auto"/>
              <w:ind w:left="0"/>
              <w:rPr>
                <w:rFonts w:ascii="Verdana" w:hAnsi="Verdana"/>
                <w:sz w:val="24"/>
                <w:szCs w:val="24"/>
              </w:rPr>
            </w:pPr>
          </w:p>
        </w:tc>
        <w:tc>
          <w:tcPr>
            <w:tcW w:w="7218" w:type="dxa"/>
          </w:tcPr>
          <w:p w:rsidR="008F4AD8" w:rsidRPr="000D2E9C" w:rsidRDefault="008F4AD8" w:rsidP="00BC5179">
            <w:pPr>
              <w:rPr>
                <w:rFonts w:ascii="Verdana" w:hAnsi="Verdana"/>
                <w:noProof/>
              </w:rPr>
            </w:pPr>
          </w:p>
        </w:tc>
      </w:tr>
      <w:tr w:rsidR="008F4AD8" w:rsidRPr="000D2E9C" w:rsidTr="00BC5179">
        <w:tc>
          <w:tcPr>
            <w:tcW w:w="3240" w:type="dxa"/>
          </w:tcPr>
          <w:p w:rsidR="008F4AD8" w:rsidRPr="000D2E9C" w:rsidRDefault="008F4AD8" w:rsidP="008F4AD8">
            <w:pPr>
              <w:pStyle w:val="ListParagraph"/>
              <w:spacing w:after="0" w:line="240" w:lineRule="auto"/>
              <w:ind w:left="0"/>
              <w:rPr>
                <w:rFonts w:ascii="Verdana" w:hAnsi="Verdana"/>
                <w:sz w:val="24"/>
                <w:szCs w:val="24"/>
              </w:rPr>
            </w:pPr>
            <w:r w:rsidRPr="000D2E9C">
              <w:rPr>
                <w:rFonts w:ascii="Verdana" w:hAnsi="Verdana"/>
                <w:sz w:val="24"/>
                <w:szCs w:val="24"/>
              </w:rPr>
              <w:lastRenderedPageBreak/>
              <w:t xml:space="preserve">Step 8.  Click the </w:t>
            </w:r>
            <w:r w:rsidRPr="000D2E9C">
              <w:rPr>
                <w:rFonts w:ascii="Verdana" w:hAnsi="Verdana"/>
                <w:i/>
                <w:sz w:val="24"/>
                <w:szCs w:val="24"/>
              </w:rPr>
              <w:t>Process Amendment</w:t>
            </w:r>
            <w:r w:rsidRPr="000D2E9C">
              <w:rPr>
                <w:rFonts w:ascii="Verdana" w:hAnsi="Verdana"/>
                <w:sz w:val="24"/>
                <w:szCs w:val="24"/>
              </w:rPr>
              <w:t xml:space="preserve"> button to finalize the new billing limit. When the process is complete, the Amendment Status will change to </w:t>
            </w:r>
            <w:r w:rsidRPr="000D2E9C">
              <w:rPr>
                <w:rFonts w:ascii="Verdana" w:hAnsi="Verdana"/>
                <w:i/>
                <w:sz w:val="24"/>
                <w:szCs w:val="24"/>
              </w:rPr>
              <w:t>Complete</w:t>
            </w:r>
            <w:r w:rsidRPr="000D2E9C">
              <w:rPr>
                <w:rFonts w:ascii="Verdana" w:hAnsi="Verdana"/>
                <w:sz w:val="24"/>
                <w:szCs w:val="24"/>
              </w:rPr>
              <w:t xml:space="preserve">.  Click </w:t>
            </w:r>
            <w:r w:rsidRPr="000D2E9C">
              <w:rPr>
                <w:rFonts w:ascii="Verdana" w:hAnsi="Verdana"/>
                <w:i/>
                <w:sz w:val="24"/>
                <w:szCs w:val="24"/>
              </w:rPr>
              <w:t>Save</w:t>
            </w:r>
            <w:r w:rsidRPr="000D2E9C">
              <w:rPr>
                <w:rFonts w:ascii="Verdana" w:hAnsi="Verdana"/>
                <w:sz w:val="24"/>
                <w:szCs w:val="24"/>
              </w:rPr>
              <w:t>.</w:t>
            </w:r>
          </w:p>
          <w:p w:rsidR="008F4AD8" w:rsidRPr="000D2E9C" w:rsidRDefault="008F4AD8" w:rsidP="008F4AD8">
            <w:pPr>
              <w:pStyle w:val="ListParagraph"/>
              <w:spacing w:after="0" w:line="240" w:lineRule="auto"/>
              <w:ind w:left="0"/>
              <w:rPr>
                <w:rFonts w:ascii="Verdana" w:hAnsi="Verdana"/>
                <w:sz w:val="24"/>
                <w:szCs w:val="24"/>
              </w:rPr>
            </w:pPr>
          </w:p>
        </w:tc>
        <w:tc>
          <w:tcPr>
            <w:tcW w:w="7218" w:type="dxa"/>
          </w:tcPr>
          <w:p w:rsidR="008F4AD8" w:rsidRPr="000D2E9C" w:rsidRDefault="005F47B1" w:rsidP="00BC5179">
            <w:pPr>
              <w:rPr>
                <w:rFonts w:ascii="Verdana" w:hAnsi="Verdana"/>
                <w:noProof/>
              </w:rPr>
            </w:pPr>
            <w:r>
              <w:rPr>
                <w:rFonts w:ascii="Verdana" w:hAnsi="Verdana"/>
                <w:noProof/>
              </w:rPr>
              <w:drawing>
                <wp:inline distT="0" distB="0" distL="0" distR="0">
                  <wp:extent cx="4467225" cy="2647950"/>
                  <wp:effectExtent l="0" t="0" r="0"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7225" cy="2647950"/>
                          </a:xfrm>
                          <a:prstGeom prst="rect">
                            <a:avLst/>
                          </a:prstGeom>
                          <a:noFill/>
                          <a:ln>
                            <a:noFill/>
                          </a:ln>
                        </pic:spPr>
                      </pic:pic>
                    </a:graphicData>
                  </a:graphic>
                </wp:inline>
              </w:drawing>
            </w:r>
          </w:p>
        </w:tc>
      </w:tr>
      <w:tr w:rsidR="008F4AD8" w:rsidRPr="000D2E9C" w:rsidTr="00BC5179">
        <w:tc>
          <w:tcPr>
            <w:tcW w:w="3240" w:type="dxa"/>
          </w:tcPr>
          <w:p w:rsidR="008F4AD8" w:rsidRPr="000D2E9C" w:rsidRDefault="008F4AD8" w:rsidP="008F4AD8">
            <w:pPr>
              <w:pStyle w:val="ListParagraph"/>
              <w:spacing w:after="0" w:line="240" w:lineRule="auto"/>
              <w:ind w:left="0"/>
              <w:rPr>
                <w:rFonts w:ascii="Verdana" w:hAnsi="Verdana"/>
                <w:sz w:val="24"/>
                <w:szCs w:val="24"/>
              </w:rPr>
            </w:pPr>
          </w:p>
        </w:tc>
        <w:tc>
          <w:tcPr>
            <w:tcW w:w="7218" w:type="dxa"/>
          </w:tcPr>
          <w:p w:rsidR="008F4AD8" w:rsidRPr="000D2E9C" w:rsidRDefault="008F4AD8" w:rsidP="00BC5179">
            <w:pPr>
              <w:rPr>
                <w:rFonts w:ascii="Verdana" w:hAnsi="Verdana"/>
                <w:noProof/>
              </w:rPr>
            </w:pPr>
          </w:p>
        </w:tc>
      </w:tr>
      <w:tr w:rsidR="008F4AD8" w:rsidRPr="000D2E9C" w:rsidTr="00BC5179">
        <w:tc>
          <w:tcPr>
            <w:tcW w:w="3240" w:type="dxa"/>
          </w:tcPr>
          <w:p w:rsidR="008F4AD8" w:rsidRPr="000D2E9C" w:rsidRDefault="008F4AD8" w:rsidP="008F4AD8">
            <w:pPr>
              <w:pStyle w:val="ListParagraph"/>
              <w:spacing w:after="0" w:line="240" w:lineRule="auto"/>
              <w:ind w:left="0"/>
              <w:rPr>
                <w:rFonts w:ascii="Verdana" w:hAnsi="Verdana"/>
                <w:sz w:val="24"/>
                <w:szCs w:val="24"/>
              </w:rPr>
            </w:pPr>
            <w:r w:rsidRPr="000D2E9C">
              <w:rPr>
                <w:rFonts w:ascii="Verdana" w:hAnsi="Verdana"/>
                <w:sz w:val="24"/>
                <w:szCs w:val="24"/>
              </w:rPr>
              <w:t xml:space="preserve">Step 9.  Click the </w:t>
            </w:r>
            <w:r w:rsidRPr="000D2E9C">
              <w:rPr>
                <w:rFonts w:ascii="Verdana" w:hAnsi="Verdana"/>
                <w:i/>
                <w:sz w:val="24"/>
                <w:szCs w:val="24"/>
              </w:rPr>
              <w:t>Return to</w:t>
            </w:r>
            <w:r w:rsidRPr="000D2E9C">
              <w:rPr>
                <w:rFonts w:ascii="Verdana" w:hAnsi="Verdana"/>
                <w:sz w:val="24"/>
                <w:szCs w:val="24"/>
              </w:rPr>
              <w:t xml:space="preserve"> </w:t>
            </w:r>
            <w:r w:rsidRPr="000D2E9C">
              <w:rPr>
                <w:rFonts w:ascii="Verdana" w:hAnsi="Verdana"/>
                <w:i/>
                <w:sz w:val="24"/>
                <w:szCs w:val="24"/>
              </w:rPr>
              <w:t>General Information</w:t>
            </w:r>
            <w:r w:rsidRPr="000D2E9C">
              <w:rPr>
                <w:rFonts w:ascii="Verdana" w:hAnsi="Verdana"/>
                <w:sz w:val="24"/>
                <w:szCs w:val="24"/>
              </w:rPr>
              <w:t xml:space="preserve"> hyperlink.  Click the </w:t>
            </w:r>
            <w:r w:rsidRPr="000D2E9C">
              <w:rPr>
                <w:rFonts w:ascii="Verdana" w:hAnsi="Verdana"/>
                <w:i/>
                <w:sz w:val="24"/>
                <w:szCs w:val="24"/>
              </w:rPr>
              <w:t>Lines</w:t>
            </w:r>
            <w:r w:rsidRPr="000D2E9C">
              <w:rPr>
                <w:rFonts w:ascii="Verdana" w:hAnsi="Verdana"/>
                <w:sz w:val="24"/>
                <w:szCs w:val="24"/>
              </w:rPr>
              <w:t xml:space="preserve"> tab, click the </w:t>
            </w:r>
            <w:r w:rsidRPr="000D2E9C">
              <w:rPr>
                <w:rFonts w:ascii="Verdana" w:hAnsi="Verdana"/>
                <w:i/>
                <w:sz w:val="24"/>
                <w:szCs w:val="24"/>
              </w:rPr>
              <w:t>Actions</w:t>
            </w:r>
            <w:r w:rsidRPr="000D2E9C">
              <w:rPr>
                <w:rFonts w:ascii="Verdana" w:hAnsi="Verdana"/>
                <w:sz w:val="24"/>
                <w:szCs w:val="24"/>
              </w:rPr>
              <w:t xml:space="preserve"> arrow and select </w:t>
            </w:r>
            <w:r w:rsidRPr="000D2E9C">
              <w:rPr>
                <w:rFonts w:ascii="Verdana" w:hAnsi="Verdana"/>
                <w:i/>
                <w:sz w:val="24"/>
                <w:szCs w:val="24"/>
              </w:rPr>
              <w:t>Define Contract Terms</w:t>
            </w:r>
            <w:r w:rsidRPr="000D2E9C">
              <w:rPr>
                <w:rFonts w:ascii="Verdana" w:hAnsi="Verdana"/>
                <w:sz w:val="24"/>
                <w:szCs w:val="24"/>
              </w:rPr>
              <w:t xml:space="preserve">.   Verify the </w:t>
            </w:r>
            <w:r w:rsidRPr="000D2E9C">
              <w:rPr>
                <w:rFonts w:ascii="Verdana" w:hAnsi="Verdana"/>
                <w:i/>
                <w:sz w:val="24"/>
                <w:szCs w:val="24"/>
              </w:rPr>
              <w:t>Billing</w:t>
            </w:r>
            <w:r w:rsidRPr="000D2E9C">
              <w:rPr>
                <w:rFonts w:ascii="Verdana" w:hAnsi="Verdana"/>
                <w:sz w:val="24"/>
                <w:szCs w:val="24"/>
              </w:rPr>
              <w:t xml:space="preserve"> and </w:t>
            </w:r>
            <w:r w:rsidRPr="000D2E9C">
              <w:rPr>
                <w:rFonts w:ascii="Verdana" w:hAnsi="Verdana"/>
                <w:i/>
                <w:sz w:val="24"/>
                <w:szCs w:val="24"/>
              </w:rPr>
              <w:t>Revenue Limits</w:t>
            </w:r>
            <w:r w:rsidRPr="000D2E9C">
              <w:rPr>
                <w:rFonts w:ascii="Verdana" w:hAnsi="Verdana"/>
                <w:sz w:val="24"/>
                <w:szCs w:val="24"/>
              </w:rPr>
              <w:t>.</w:t>
            </w:r>
          </w:p>
          <w:p w:rsidR="008F4AD8" w:rsidRPr="000D2E9C" w:rsidRDefault="008F4AD8" w:rsidP="008F4AD8">
            <w:pPr>
              <w:pStyle w:val="ListParagraph"/>
              <w:spacing w:after="0" w:line="240" w:lineRule="auto"/>
              <w:ind w:left="0"/>
              <w:rPr>
                <w:rFonts w:ascii="Verdana" w:hAnsi="Verdana"/>
                <w:sz w:val="24"/>
                <w:szCs w:val="24"/>
              </w:rPr>
            </w:pPr>
          </w:p>
          <w:p w:rsidR="006E1579" w:rsidRPr="000D2E9C" w:rsidRDefault="006E1579" w:rsidP="008F4AD8">
            <w:pPr>
              <w:pStyle w:val="ListParagraph"/>
              <w:spacing w:after="0" w:line="240" w:lineRule="auto"/>
              <w:ind w:left="0"/>
              <w:rPr>
                <w:rFonts w:ascii="Verdana" w:hAnsi="Verdana"/>
                <w:sz w:val="24"/>
                <w:szCs w:val="24"/>
              </w:rPr>
            </w:pPr>
          </w:p>
          <w:p w:rsidR="006E1579" w:rsidRPr="000D2E9C" w:rsidRDefault="006E1579" w:rsidP="006E1579">
            <w:pPr>
              <w:pStyle w:val="ListParagraph"/>
              <w:spacing w:after="0" w:line="240" w:lineRule="auto"/>
              <w:ind w:left="0"/>
              <w:rPr>
                <w:rFonts w:ascii="Verdana" w:hAnsi="Verdana"/>
                <w:sz w:val="24"/>
                <w:szCs w:val="24"/>
              </w:rPr>
            </w:pPr>
            <w:r w:rsidRPr="000D2E9C">
              <w:rPr>
                <w:rFonts w:ascii="Verdana" w:hAnsi="Verdana"/>
                <w:sz w:val="24"/>
                <w:szCs w:val="24"/>
              </w:rPr>
              <w:t>Note:   Overnight batch processing will run, changing the OLT rows on the project to BIL rows since they now fall within the increased billing limit. The new BIL rows (formerly OLT rows) will then appear on a new Billing Worksheet for processing.</w:t>
            </w:r>
          </w:p>
          <w:p w:rsidR="006E1579" w:rsidRPr="000D2E9C" w:rsidRDefault="006E1579" w:rsidP="008F4AD8">
            <w:pPr>
              <w:pStyle w:val="ListParagraph"/>
              <w:spacing w:after="0" w:line="240" w:lineRule="auto"/>
              <w:ind w:left="0"/>
              <w:rPr>
                <w:rFonts w:ascii="Verdana" w:hAnsi="Verdana"/>
                <w:sz w:val="24"/>
                <w:szCs w:val="24"/>
              </w:rPr>
            </w:pPr>
          </w:p>
        </w:tc>
        <w:tc>
          <w:tcPr>
            <w:tcW w:w="7218" w:type="dxa"/>
          </w:tcPr>
          <w:p w:rsidR="008F4AD8" w:rsidRPr="000D2E9C" w:rsidRDefault="005F47B1" w:rsidP="00BC5179">
            <w:pPr>
              <w:rPr>
                <w:rFonts w:ascii="Verdana" w:hAnsi="Verdana"/>
                <w:noProof/>
              </w:rPr>
            </w:pPr>
            <w:r>
              <w:rPr>
                <w:rFonts w:ascii="Verdana" w:hAnsi="Verdana"/>
                <w:noProof/>
              </w:rPr>
              <w:drawing>
                <wp:inline distT="0" distB="0" distL="0" distR="0">
                  <wp:extent cx="4543425" cy="2876550"/>
                  <wp:effectExtent l="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43425" cy="2876550"/>
                          </a:xfrm>
                          <a:prstGeom prst="rect">
                            <a:avLst/>
                          </a:prstGeom>
                          <a:noFill/>
                          <a:ln>
                            <a:noFill/>
                          </a:ln>
                        </pic:spPr>
                      </pic:pic>
                    </a:graphicData>
                  </a:graphic>
                </wp:inline>
              </w:drawing>
            </w:r>
          </w:p>
        </w:tc>
      </w:tr>
    </w:tbl>
    <w:p w:rsidR="00D35629" w:rsidRDefault="00D35629" w:rsidP="00652B29">
      <w:pPr>
        <w:spacing w:after="100" w:afterAutospacing="1"/>
        <w:rPr>
          <w:rFonts w:ascii="Calibri" w:hAnsi="Calibri"/>
        </w:rPr>
      </w:pPr>
    </w:p>
    <w:sectPr w:rsidR="00D35629" w:rsidSect="00800E42">
      <w:footerReference w:type="default" r:id="rId1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388" w:rsidRDefault="00992388" w:rsidP="00996C68">
      <w:r>
        <w:separator/>
      </w:r>
    </w:p>
  </w:endnote>
  <w:endnote w:type="continuationSeparator" w:id="0">
    <w:p w:rsidR="00992388" w:rsidRDefault="00992388"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388" w:rsidRPr="00996C68" w:rsidRDefault="00992388"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Pr>
        <w:rFonts w:ascii="Calibri" w:hAnsi="Calibri"/>
        <w:b/>
        <w:noProof/>
        <w:sz w:val="20"/>
        <w:szCs w:val="20"/>
      </w:rPr>
      <w:t>3</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Pr>
        <w:rFonts w:ascii="Calibri" w:hAnsi="Calibri"/>
        <w:b/>
        <w:noProof/>
        <w:sz w:val="20"/>
        <w:szCs w:val="20"/>
      </w:rPr>
      <w:t>5</w:t>
    </w:r>
    <w:r w:rsidRPr="00996C68">
      <w:rPr>
        <w:rFonts w:ascii="Calibri" w:hAnsi="Calibri"/>
        <w:b/>
        <w:sz w:val="20"/>
        <w:szCs w:val="20"/>
      </w:rPr>
      <w:fldChar w:fldCharType="end"/>
    </w:r>
  </w:p>
  <w:p w:rsidR="00992388" w:rsidRDefault="0099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388" w:rsidRDefault="00992388" w:rsidP="00996C68">
      <w:r>
        <w:separator/>
      </w:r>
    </w:p>
  </w:footnote>
  <w:footnote w:type="continuationSeparator" w:id="0">
    <w:p w:rsidR="00992388" w:rsidRDefault="00992388"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3317"/>
    <w:multiLevelType w:val="hybridMultilevel"/>
    <w:tmpl w:val="062E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3"/>
  </w:num>
  <w:num w:numId="5">
    <w:abstractNumId w:val="7"/>
  </w:num>
  <w:num w:numId="6">
    <w:abstractNumId w:val="11"/>
  </w:num>
  <w:num w:numId="7">
    <w:abstractNumId w:val="2"/>
  </w:num>
  <w:num w:numId="8">
    <w:abstractNumId w:val="12"/>
  </w:num>
  <w:num w:numId="9">
    <w:abstractNumId w:val="13"/>
  </w:num>
  <w:num w:numId="10">
    <w:abstractNumId w:val="9"/>
  </w:num>
  <w:num w:numId="11">
    <w:abstractNumId w:val="4"/>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202B3"/>
    <w:rsid w:val="000255D0"/>
    <w:rsid w:val="00031167"/>
    <w:rsid w:val="00037422"/>
    <w:rsid w:val="00046D31"/>
    <w:rsid w:val="00065551"/>
    <w:rsid w:val="00084AC1"/>
    <w:rsid w:val="00097987"/>
    <w:rsid w:val="000A40AE"/>
    <w:rsid w:val="000B12F4"/>
    <w:rsid w:val="000B70C4"/>
    <w:rsid w:val="000D2E9C"/>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128EE"/>
    <w:rsid w:val="004443B6"/>
    <w:rsid w:val="00466533"/>
    <w:rsid w:val="00477DAF"/>
    <w:rsid w:val="004847C7"/>
    <w:rsid w:val="0049585B"/>
    <w:rsid w:val="004A0B6D"/>
    <w:rsid w:val="004A43A5"/>
    <w:rsid w:val="004C084E"/>
    <w:rsid w:val="004C0BC4"/>
    <w:rsid w:val="004C7AB2"/>
    <w:rsid w:val="004D22FE"/>
    <w:rsid w:val="004E2570"/>
    <w:rsid w:val="004E60F1"/>
    <w:rsid w:val="00503EDD"/>
    <w:rsid w:val="00535F16"/>
    <w:rsid w:val="005544A6"/>
    <w:rsid w:val="00555025"/>
    <w:rsid w:val="005559DD"/>
    <w:rsid w:val="00584192"/>
    <w:rsid w:val="005A65E5"/>
    <w:rsid w:val="005B714B"/>
    <w:rsid w:val="005C4C83"/>
    <w:rsid w:val="005E2CAF"/>
    <w:rsid w:val="005E3AB3"/>
    <w:rsid w:val="005F47B1"/>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E1579"/>
    <w:rsid w:val="006F03AB"/>
    <w:rsid w:val="00706D9D"/>
    <w:rsid w:val="007100D6"/>
    <w:rsid w:val="0072049B"/>
    <w:rsid w:val="00731301"/>
    <w:rsid w:val="007424DD"/>
    <w:rsid w:val="007607AB"/>
    <w:rsid w:val="00796837"/>
    <w:rsid w:val="007A7FF1"/>
    <w:rsid w:val="007B111E"/>
    <w:rsid w:val="007E38B9"/>
    <w:rsid w:val="007E6960"/>
    <w:rsid w:val="007F3D2C"/>
    <w:rsid w:val="00800E42"/>
    <w:rsid w:val="00806A57"/>
    <w:rsid w:val="0081150F"/>
    <w:rsid w:val="00812A2C"/>
    <w:rsid w:val="00835DD3"/>
    <w:rsid w:val="0084482B"/>
    <w:rsid w:val="00853B49"/>
    <w:rsid w:val="00881603"/>
    <w:rsid w:val="00890040"/>
    <w:rsid w:val="008934AD"/>
    <w:rsid w:val="008B5B32"/>
    <w:rsid w:val="008C5D6D"/>
    <w:rsid w:val="008C6EDA"/>
    <w:rsid w:val="008D104C"/>
    <w:rsid w:val="008E5F3A"/>
    <w:rsid w:val="008F4AD8"/>
    <w:rsid w:val="00916A14"/>
    <w:rsid w:val="00934316"/>
    <w:rsid w:val="0094387D"/>
    <w:rsid w:val="00945EAE"/>
    <w:rsid w:val="0096138D"/>
    <w:rsid w:val="009773A3"/>
    <w:rsid w:val="00992388"/>
    <w:rsid w:val="00996C68"/>
    <w:rsid w:val="009A5953"/>
    <w:rsid w:val="009B690D"/>
    <w:rsid w:val="009E2F66"/>
    <w:rsid w:val="009E381A"/>
    <w:rsid w:val="00A008BC"/>
    <w:rsid w:val="00A05D98"/>
    <w:rsid w:val="00AC3EA4"/>
    <w:rsid w:val="00AD7F09"/>
    <w:rsid w:val="00AF2E3C"/>
    <w:rsid w:val="00B02D46"/>
    <w:rsid w:val="00B37C9A"/>
    <w:rsid w:val="00B419B2"/>
    <w:rsid w:val="00B55A0E"/>
    <w:rsid w:val="00B75097"/>
    <w:rsid w:val="00B91997"/>
    <w:rsid w:val="00BB45CB"/>
    <w:rsid w:val="00BB4D40"/>
    <w:rsid w:val="00BC1B53"/>
    <w:rsid w:val="00BC5179"/>
    <w:rsid w:val="00BD5937"/>
    <w:rsid w:val="00BE2598"/>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0C9"/>
    <w:rsid w:val="00D83D31"/>
    <w:rsid w:val="00D96D6D"/>
    <w:rsid w:val="00DB39DE"/>
    <w:rsid w:val="00DB3D9B"/>
    <w:rsid w:val="00DB76F4"/>
    <w:rsid w:val="00DD2131"/>
    <w:rsid w:val="00DD2744"/>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62BAC"/>
    <w:rsid w:val="00F664E4"/>
    <w:rsid w:val="00F67A85"/>
    <w:rsid w:val="00F74D94"/>
    <w:rsid w:val="00F81AF8"/>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27F830"/>
  <w15:docId w15:val="{609F9AA6-8110-4C81-8F21-4D95965A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C517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Shaver, Linda [DASM]</cp:lastModifiedBy>
  <cp:revision>6</cp:revision>
  <cp:lastPrinted>2012-11-27T20:45:00Z</cp:lastPrinted>
  <dcterms:created xsi:type="dcterms:W3CDTF">2019-02-28T16:13:00Z</dcterms:created>
  <dcterms:modified xsi:type="dcterms:W3CDTF">2019-03-18T19:14:00Z</dcterms:modified>
</cp:coreProperties>
</file>