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Default="007A39EA" w:rsidP="000B12F4">
      <w:pPr>
        <w:pStyle w:val="Header"/>
        <w:spacing w:before="12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976FB8">
        <w:rPr>
          <w:rFonts w:ascii="Calibri" w:hAnsi="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509880829" r:id="rId10"/>
        </w:pict>
      </w:r>
      <w:r w:rsidR="00800E42" w:rsidRPr="00996C68">
        <w:rPr>
          <w:rFonts w:ascii="Calibri" w:hAnsi="Calibri" w:cs="Arial"/>
          <w:b/>
          <w:bCs/>
          <w:noProof/>
          <w:sz w:val="32"/>
          <w:szCs w:val="32"/>
        </w:rPr>
        <w:t>State of Kansas</w:t>
      </w:r>
    </w:p>
    <w:p w:rsidR="00800551" w:rsidRPr="00976FB8" w:rsidRDefault="00976FB8" w:rsidP="000B12F4">
      <w:pPr>
        <w:pStyle w:val="Header"/>
        <w:spacing w:before="120"/>
        <w:jc w:val="center"/>
        <w:rPr>
          <w:rFonts w:ascii="Verdana" w:hAnsi="Verdana" w:cs="Arial"/>
          <w:b/>
          <w:bCs/>
          <w:noProof/>
          <w:sz w:val="26"/>
          <w:szCs w:val="26"/>
          <w:lang w:val="en-US"/>
        </w:rPr>
      </w:pPr>
      <w:r>
        <w:rPr>
          <w:rFonts w:ascii="Verdana" w:hAnsi="Verdana" w:cs="Arial"/>
          <w:b/>
          <w:bCs/>
          <w:noProof/>
          <w:sz w:val="28"/>
          <w:szCs w:val="28"/>
          <w:lang w:val="en-US"/>
        </w:rPr>
        <w:t xml:space="preserve">            </w:t>
      </w:r>
      <w:r w:rsidRPr="00976FB8">
        <w:rPr>
          <w:rFonts w:ascii="Verdana" w:hAnsi="Verdana" w:cs="Arial"/>
          <w:b/>
          <w:bCs/>
          <w:noProof/>
          <w:sz w:val="26"/>
          <w:szCs w:val="26"/>
          <w:lang w:val="en-US"/>
        </w:rPr>
        <w:t xml:space="preserve">How to </w:t>
      </w:r>
      <w:r w:rsidR="007A39EA" w:rsidRPr="00976FB8">
        <w:rPr>
          <w:rFonts w:ascii="Verdana" w:hAnsi="Verdana" w:cs="Arial"/>
          <w:b/>
          <w:bCs/>
          <w:noProof/>
          <w:sz w:val="26"/>
          <w:szCs w:val="26"/>
          <w:lang w:val="en-US"/>
        </w:rPr>
        <w:t xml:space="preserve">Personalize </w:t>
      </w:r>
      <w:r w:rsidRPr="00976FB8">
        <w:rPr>
          <w:rFonts w:ascii="Verdana" w:hAnsi="Verdana" w:cs="Arial"/>
          <w:b/>
          <w:bCs/>
          <w:noProof/>
          <w:sz w:val="26"/>
          <w:szCs w:val="26"/>
          <w:lang w:val="en-US"/>
        </w:rPr>
        <w:t xml:space="preserve">to Show All </w:t>
      </w:r>
      <w:r w:rsidR="001568B1" w:rsidRPr="00976FB8">
        <w:rPr>
          <w:rFonts w:ascii="Verdana" w:hAnsi="Verdana" w:cs="Arial"/>
          <w:b/>
          <w:bCs/>
          <w:noProof/>
          <w:sz w:val="26"/>
          <w:szCs w:val="26"/>
          <w:lang w:val="en-US"/>
        </w:rPr>
        <w:t>Accounting Lines</w:t>
      </w:r>
    </w:p>
    <w:p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bookmarkStart w:id="0" w:name="_GoBack"/>
      <w:bookmarkEnd w:id="0"/>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Date Created:</w:t>
            </w:r>
          </w:p>
        </w:tc>
        <w:tc>
          <w:tcPr>
            <w:tcW w:w="7128" w:type="dxa"/>
          </w:tcPr>
          <w:p w:rsidR="003738F2" w:rsidRPr="00800551" w:rsidRDefault="007A39EA" w:rsidP="00290E9D">
            <w:pPr>
              <w:rPr>
                <w:rFonts w:ascii="Verdana" w:hAnsi="Verdana"/>
              </w:rPr>
            </w:pPr>
            <w:r>
              <w:rPr>
                <w:rFonts w:ascii="Verdana" w:hAnsi="Verdana"/>
              </w:rPr>
              <w:t>11/24/2015</w:t>
            </w:r>
          </w:p>
        </w:tc>
      </w:tr>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Version:</w:t>
            </w:r>
          </w:p>
        </w:tc>
        <w:tc>
          <w:tcPr>
            <w:tcW w:w="7128" w:type="dxa"/>
          </w:tcPr>
          <w:p w:rsidR="00AF2E3C" w:rsidRPr="00800551" w:rsidRDefault="007A39EA" w:rsidP="00EE1A38">
            <w:pPr>
              <w:rPr>
                <w:rFonts w:ascii="Verdana" w:hAnsi="Verdana"/>
              </w:rPr>
            </w:pPr>
            <w:r>
              <w:rPr>
                <w:rFonts w:ascii="Verdana" w:hAnsi="Verdana"/>
              </w:rPr>
              <w:t>1.0</w:t>
            </w:r>
          </w:p>
        </w:tc>
      </w:tr>
      <w:tr w:rsidR="003738F2" w:rsidRPr="00161D65" w:rsidTr="00161D65">
        <w:tc>
          <w:tcPr>
            <w:tcW w:w="3330" w:type="dxa"/>
          </w:tcPr>
          <w:p w:rsidR="003738F2" w:rsidRPr="00800551" w:rsidRDefault="003738F2" w:rsidP="00161D65">
            <w:pPr>
              <w:rPr>
                <w:rFonts w:ascii="Verdana" w:hAnsi="Verdana"/>
                <w:b/>
                <w:noProof/>
              </w:rPr>
            </w:pPr>
            <w:r w:rsidRPr="00800551">
              <w:rPr>
                <w:rFonts w:ascii="Verdana" w:hAnsi="Verdana"/>
                <w:b/>
                <w:noProof/>
              </w:rPr>
              <w:t>Last Updated Date:</w:t>
            </w:r>
          </w:p>
        </w:tc>
        <w:tc>
          <w:tcPr>
            <w:tcW w:w="7128" w:type="dxa"/>
          </w:tcPr>
          <w:p w:rsidR="003738F2" w:rsidRPr="00800551" w:rsidRDefault="007A39EA" w:rsidP="00254DE3">
            <w:pPr>
              <w:rPr>
                <w:rFonts w:ascii="Verdana" w:hAnsi="Verdana"/>
              </w:rPr>
            </w:pPr>
            <w:r>
              <w:rPr>
                <w:rFonts w:ascii="Verdana" w:hAnsi="Verdana"/>
              </w:rPr>
              <w:t>11/24</w:t>
            </w:r>
            <w:r w:rsidR="00800551" w:rsidRPr="00800551">
              <w:rPr>
                <w:rFonts w:ascii="Verdana" w:hAnsi="Verdana"/>
              </w:rPr>
              <w:t>/2015</w:t>
            </w:r>
          </w:p>
        </w:tc>
      </w:tr>
      <w:tr w:rsidR="000B12F4" w:rsidRPr="00161D65" w:rsidTr="00161D65">
        <w:tc>
          <w:tcPr>
            <w:tcW w:w="3330" w:type="dxa"/>
          </w:tcPr>
          <w:p w:rsidR="000B12F4" w:rsidRPr="00800551" w:rsidRDefault="006105D7" w:rsidP="00C268F6">
            <w:pPr>
              <w:rPr>
                <w:rFonts w:ascii="Verdana" w:hAnsi="Verdana"/>
                <w:b/>
                <w:noProof/>
              </w:rPr>
            </w:pPr>
            <w:r w:rsidRPr="00800551">
              <w:rPr>
                <w:rFonts w:ascii="Verdana" w:hAnsi="Verdana"/>
                <w:b/>
                <w:noProof/>
              </w:rPr>
              <w:t>Process</w:t>
            </w:r>
            <w:r w:rsidR="00800551" w:rsidRPr="00800551">
              <w:rPr>
                <w:rFonts w:ascii="Verdana" w:hAnsi="Verdana"/>
                <w:b/>
                <w:noProof/>
              </w:rPr>
              <w:t xml:space="preserve">:  </w:t>
            </w:r>
          </w:p>
        </w:tc>
        <w:tc>
          <w:tcPr>
            <w:tcW w:w="7128" w:type="dxa"/>
          </w:tcPr>
          <w:p w:rsidR="000B12F4" w:rsidRPr="00800551" w:rsidRDefault="007A39EA" w:rsidP="007A39EA">
            <w:pPr>
              <w:rPr>
                <w:rFonts w:ascii="Verdana" w:hAnsi="Verdana"/>
                <w:noProof/>
              </w:rPr>
            </w:pPr>
            <w:r>
              <w:t>To persona</w:t>
            </w:r>
            <w:r w:rsidR="001568B1">
              <w:t>lize Accounting Lines.</w:t>
            </w:r>
          </w:p>
        </w:tc>
      </w:tr>
      <w:tr w:rsidR="000B12F4" w:rsidRPr="00161D65" w:rsidTr="00161D65">
        <w:tc>
          <w:tcPr>
            <w:tcW w:w="3330" w:type="dxa"/>
          </w:tcPr>
          <w:p w:rsidR="000B12F4" w:rsidRPr="007A39EA" w:rsidRDefault="007A39EA" w:rsidP="007A39EA">
            <w:pPr>
              <w:pStyle w:val="ListParagraph"/>
              <w:numPr>
                <w:ilvl w:val="0"/>
                <w:numId w:val="14"/>
              </w:numPr>
            </w:pPr>
            <w:r>
              <w:t>Click the ‘Personalize’ link on the Accounting Lines</w:t>
            </w:r>
          </w:p>
        </w:tc>
        <w:tc>
          <w:tcPr>
            <w:tcW w:w="7128" w:type="dxa"/>
          </w:tcPr>
          <w:p w:rsidR="000B12F4" w:rsidRPr="00800551" w:rsidRDefault="007A39EA" w:rsidP="00800551">
            <w:pPr>
              <w:rPr>
                <w:rFonts w:ascii="Verdana" w:hAnsi="Verdana"/>
                <w:noProof/>
              </w:rPr>
            </w:pPr>
            <w:r>
              <w:rPr>
                <w:noProof/>
              </w:rPr>
              <w:drawing>
                <wp:inline distT="0" distB="0" distL="0" distR="0">
                  <wp:extent cx="4343400" cy="742950"/>
                  <wp:effectExtent l="19050" t="19050" r="19050"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742950"/>
                          </a:xfrm>
                          <a:prstGeom prst="rect">
                            <a:avLst/>
                          </a:prstGeom>
                          <a:noFill/>
                          <a:ln w="6350" cmpd="sng">
                            <a:solidFill>
                              <a:srgbClr val="000000"/>
                            </a:solidFill>
                            <a:miter lim="800000"/>
                            <a:headEnd/>
                            <a:tailEnd/>
                          </a:ln>
                          <a:effectLst/>
                        </pic:spPr>
                      </pic:pic>
                    </a:graphicData>
                  </a:graphic>
                </wp:inline>
              </w:drawing>
            </w:r>
          </w:p>
        </w:tc>
      </w:tr>
      <w:tr w:rsidR="000B12F4" w:rsidRPr="00161D65" w:rsidTr="00161D65">
        <w:tc>
          <w:tcPr>
            <w:tcW w:w="3330" w:type="dxa"/>
          </w:tcPr>
          <w:p w:rsidR="000B12F4" w:rsidRPr="007A39EA" w:rsidRDefault="007A39EA" w:rsidP="009F6F03">
            <w:pPr>
              <w:pStyle w:val="ListParagraph"/>
              <w:numPr>
                <w:ilvl w:val="0"/>
                <w:numId w:val="14"/>
              </w:numPr>
            </w:pPr>
            <w:r>
              <w:t>The box to the right</w:t>
            </w:r>
            <w:r w:rsidR="008C1556">
              <w:t xml:space="preserve"> will pop </w:t>
            </w:r>
            <w:proofErr w:type="gramStart"/>
            <w:r w:rsidR="008C1556">
              <w:t>up,</w:t>
            </w:r>
            <w:proofErr w:type="gramEnd"/>
            <w:r w:rsidR="008C1556">
              <w:t xml:space="preserve"> note that the tab names</w:t>
            </w:r>
            <w:r w:rsidR="009F6F03">
              <w:t xml:space="preserve"> are listed in the Column Or</w:t>
            </w:r>
            <w:r>
              <w:t>der</w:t>
            </w:r>
            <w:r w:rsidR="009F6F03">
              <w:t xml:space="preserve"> box</w:t>
            </w:r>
            <w:r>
              <w:t xml:space="preserve"> </w:t>
            </w:r>
            <w:r w:rsidR="009F6F03">
              <w:t>in addition to the field names</w:t>
            </w:r>
            <w:r>
              <w:t xml:space="preserve"> (</w:t>
            </w:r>
            <w:r w:rsidR="009F6F03">
              <w:t xml:space="preserve">Tabs are </w:t>
            </w:r>
            <w:r>
              <w:t>highlighted in this picture).</w:t>
            </w:r>
          </w:p>
        </w:tc>
        <w:tc>
          <w:tcPr>
            <w:tcW w:w="7128" w:type="dxa"/>
          </w:tcPr>
          <w:p w:rsidR="000B12F4" w:rsidRPr="00800551" w:rsidRDefault="007A39EA" w:rsidP="00800551">
            <w:pPr>
              <w:rPr>
                <w:rFonts w:ascii="Verdana" w:hAnsi="Verdana"/>
                <w:noProof/>
              </w:rPr>
            </w:pPr>
            <w:r>
              <w:rPr>
                <w:noProof/>
              </w:rPr>
              <w:drawing>
                <wp:inline distT="0" distB="0" distL="0" distR="0">
                  <wp:extent cx="1962150" cy="4657725"/>
                  <wp:effectExtent l="19050" t="19050" r="19050" b="285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657725"/>
                          </a:xfrm>
                          <a:prstGeom prst="rect">
                            <a:avLst/>
                          </a:prstGeom>
                          <a:noFill/>
                          <a:ln w="6350" cmpd="sng">
                            <a:solidFill>
                              <a:srgbClr val="000000"/>
                            </a:solidFill>
                            <a:miter lim="800000"/>
                            <a:headEnd/>
                            <a:tailEnd/>
                          </a:ln>
                          <a:effectLst/>
                        </pic:spPr>
                      </pic:pic>
                    </a:graphicData>
                  </a:graphic>
                </wp:inline>
              </w:drawing>
            </w:r>
          </w:p>
        </w:tc>
      </w:tr>
      <w:tr w:rsidR="000A7AED" w:rsidRPr="00161D65" w:rsidTr="00161D65">
        <w:tc>
          <w:tcPr>
            <w:tcW w:w="3330" w:type="dxa"/>
          </w:tcPr>
          <w:p w:rsidR="000A7AED" w:rsidRPr="007A39EA" w:rsidRDefault="005F0F41" w:rsidP="005F0F41">
            <w:pPr>
              <w:pStyle w:val="ListParagraph"/>
              <w:numPr>
                <w:ilvl w:val="0"/>
                <w:numId w:val="14"/>
              </w:numPr>
            </w:pPr>
            <w:r>
              <w:lastRenderedPageBreak/>
              <w:t>To re-order</w:t>
            </w:r>
            <w:r w:rsidR="007A39EA">
              <w:t xml:space="preserve"> the fields</w:t>
            </w:r>
            <w:r>
              <w:t xml:space="preserve"> on the page</w:t>
            </w:r>
            <w:r w:rsidR="007A39EA">
              <w:t>, click on the field that you want to move (highlighted below)</w:t>
            </w:r>
            <w:r>
              <w:t>,</w:t>
            </w:r>
            <w:r w:rsidR="007A39EA">
              <w:t xml:space="preserve"> then click the up or down arrows to the right of the field list.</w:t>
            </w:r>
            <w:r w:rsidR="00AA5AA2">
              <w:t xml:space="preserve"> The fields will display in the order in which they are listed.</w:t>
            </w:r>
          </w:p>
        </w:tc>
        <w:tc>
          <w:tcPr>
            <w:tcW w:w="7128" w:type="dxa"/>
          </w:tcPr>
          <w:p w:rsidR="000A7AED" w:rsidRPr="0096757B" w:rsidRDefault="007A39EA" w:rsidP="00800551">
            <w:pPr>
              <w:rPr>
                <w:noProof/>
              </w:rPr>
            </w:pPr>
            <w:r>
              <w:rPr>
                <w:noProof/>
              </w:rPr>
              <w:drawing>
                <wp:inline distT="0" distB="0" distL="0" distR="0">
                  <wp:extent cx="1771650" cy="4248150"/>
                  <wp:effectExtent l="19050" t="19050" r="19050" b="190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248150"/>
                          </a:xfrm>
                          <a:prstGeom prst="rect">
                            <a:avLst/>
                          </a:prstGeom>
                          <a:noFill/>
                          <a:ln w="6350" cmpd="sng">
                            <a:solidFill>
                              <a:srgbClr val="000000"/>
                            </a:solidFill>
                            <a:miter lim="800000"/>
                            <a:headEnd/>
                            <a:tailEnd/>
                          </a:ln>
                          <a:effectLst/>
                        </pic:spPr>
                      </pic:pic>
                    </a:graphicData>
                  </a:graphic>
                </wp:inline>
              </w:drawing>
            </w:r>
          </w:p>
        </w:tc>
      </w:tr>
      <w:tr w:rsidR="000A7AED" w:rsidRPr="00161D65" w:rsidTr="00161D65">
        <w:tc>
          <w:tcPr>
            <w:tcW w:w="3330" w:type="dxa"/>
          </w:tcPr>
          <w:p w:rsidR="007A39EA" w:rsidRDefault="007A39EA" w:rsidP="007A39EA">
            <w:pPr>
              <w:pStyle w:val="ListParagraph"/>
              <w:numPr>
                <w:ilvl w:val="0"/>
                <w:numId w:val="14"/>
              </w:numPr>
            </w:pPr>
            <w:r>
              <w:lastRenderedPageBreak/>
              <w:t xml:space="preserve">In the picture to the </w:t>
            </w:r>
            <w:r w:rsidR="00353B7A">
              <w:t>r</w:t>
            </w:r>
            <w:r>
              <w:t xml:space="preserve">ight, </w:t>
            </w:r>
            <w:proofErr w:type="spellStart"/>
            <w:r w:rsidRPr="0050354F">
              <w:rPr>
                <w:b/>
              </w:rPr>
              <w:t>Dept</w:t>
            </w:r>
            <w:proofErr w:type="spellEnd"/>
            <w:r>
              <w:t xml:space="preserve"> was moved from “Tab Chartfields2” to “Tab Chartfields1”and will now display between the </w:t>
            </w:r>
            <w:r w:rsidRPr="0050354F">
              <w:rPr>
                <w:b/>
              </w:rPr>
              <w:t xml:space="preserve">Merchandise </w:t>
            </w:r>
            <w:proofErr w:type="spellStart"/>
            <w:r w:rsidRPr="0050354F">
              <w:rPr>
                <w:b/>
              </w:rPr>
              <w:t>Amt</w:t>
            </w:r>
            <w:proofErr w:type="spellEnd"/>
            <w:r>
              <w:t xml:space="preserve"> and </w:t>
            </w:r>
            <w:r w:rsidRPr="0050354F">
              <w:rPr>
                <w:b/>
              </w:rPr>
              <w:t>GL Unit</w:t>
            </w:r>
            <w:r>
              <w:rPr>
                <w:b/>
              </w:rPr>
              <w:t xml:space="preserve"> </w:t>
            </w:r>
            <w:r>
              <w:t>fields.</w:t>
            </w:r>
          </w:p>
          <w:p w:rsidR="000A7AED" w:rsidRPr="000A7AED" w:rsidRDefault="000A7AED" w:rsidP="00C77DAD">
            <w:pPr>
              <w:rPr>
                <w:rFonts w:ascii="Verdana" w:hAnsi="Verdana"/>
                <w:noProof/>
              </w:rPr>
            </w:pPr>
          </w:p>
        </w:tc>
        <w:tc>
          <w:tcPr>
            <w:tcW w:w="7128" w:type="dxa"/>
          </w:tcPr>
          <w:p w:rsidR="000A7AED" w:rsidRPr="0096757B" w:rsidRDefault="007A39EA" w:rsidP="00800551">
            <w:pPr>
              <w:rPr>
                <w:noProof/>
              </w:rPr>
            </w:pPr>
            <w:r>
              <w:rPr>
                <w:noProof/>
              </w:rPr>
              <w:drawing>
                <wp:inline distT="0" distB="0" distL="0" distR="0">
                  <wp:extent cx="1895475" cy="4552950"/>
                  <wp:effectExtent l="19050" t="19050" r="28575" b="190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4552950"/>
                          </a:xfrm>
                          <a:prstGeom prst="rect">
                            <a:avLst/>
                          </a:prstGeom>
                          <a:noFill/>
                          <a:ln w="6350" cmpd="sng">
                            <a:solidFill>
                              <a:srgbClr val="000000"/>
                            </a:solidFill>
                            <a:miter lim="800000"/>
                            <a:headEnd/>
                            <a:tailEnd/>
                          </a:ln>
                          <a:effectLst/>
                        </pic:spPr>
                      </pic:pic>
                    </a:graphicData>
                  </a:graphic>
                </wp:inline>
              </w:drawing>
            </w:r>
          </w:p>
        </w:tc>
      </w:tr>
      <w:tr w:rsidR="005D69D6" w:rsidRPr="00161D65" w:rsidTr="00161D65">
        <w:tc>
          <w:tcPr>
            <w:tcW w:w="3330" w:type="dxa"/>
          </w:tcPr>
          <w:p w:rsidR="005D69D6" w:rsidRPr="007A39EA" w:rsidRDefault="007A39EA" w:rsidP="007A39EA">
            <w:pPr>
              <w:pStyle w:val="ListParagraph"/>
              <w:numPr>
                <w:ilvl w:val="0"/>
                <w:numId w:val="14"/>
              </w:numPr>
            </w:pPr>
            <w:r>
              <w:t>After making any desired changes, scroll to the bottom and click the ‘Preview’ button</w:t>
            </w:r>
          </w:p>
        </w:tc>
        <w:tc>
          <w:tcPr>
            <w:tcW w:w="7128" w:type="dxa"/>
          </w:tcPr>
          <w:p w:rsidR="005D69D6" w:rsidRPr="0096757B" w:rsidRDefault="007A39EA" w:rsidP="00800551">
            <w:pPr>
              <w:rPr>
                <w:noProof/>
              </w:rPr>
            </w:pPr>
            <w:r>
              <w:rPr>
                <w:noProof/>
              </w:rPr>
              <w:drawing>
                <wp:inline distT="0" distB="0" distL="0" distR="0">
                  <wp:extent cx="4400550" cy="1333500"/>
                  <wp:effectExtent l="19050" t="19050" r="19050" b="1905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1333500"/>
                          </a:xfrm>
                          <a:prstGeom prst="rect">
                            <a:avLst/>
                          </a:prstGeom>
                          <a:noFill/>
                          <a:ln w="6350" cmpd="sng">
                            <a:solidFill>
                              <a:srgbClr val="000000"/>
                            </a:solidFill>
                            <a:miter lim="800000"/>
                            <a:headEnd/>
                            <a:tailEnd/>
                          </a:ln>
                          <a:effectLst/>
                        </pic:spPr>
                      </pic:pic>
                    </a:graphicData>
                  </a:graphic>
                </wp:inline>
              </w:drawing>
            </w:r>
          </w:p>
        </w:tc>
      </w:tr>
      <w:tr w:rsidR="005D69D6" w:rsidRPr="00161D65" w:rsidTr="00161D65">
        <w:tc>
          <w:tcPr>
            <w:tcW w:w="3330" w:type="dxa"/>
          </w:tcPr>
          <w:p w:rsidR="005D69D6" w:rsidRPr="007A39EA" w:rsidRDefault="007A39EA" w:rsidP="00C77DAD">
            <w:pPr>
              <w:pStyle w:val="ListParagraph"/>
              <w:numPr>
                <w:ilvl w:val="0"/>
                <w:numId w:val="14"/>
              </w:numPr>
            </w:pPr>
            <w:r>
              <w:t>If the changes are complete, then click the ‘OK’ button. If more changes are needed, then scroll back up to make additional updates or click the ‘Cancel’ button to undo the previous changes.</w:t>
            </w:r>
          </w:p>
        </w:tc>
        <w:tc>
          <w:tcPr>
            <w:tcW w:w="7128" w:type="dxa"/>
          </w:tcPr>
          <w:p w:rsidR="005D69D6" w:rsidRPr="0096757B" w:rsidRDefault="005D69D6" w:rsidP="00800551">
            <w:pPr>
              <w:rPr>
                <w:noProof/>
              </w:rPr>
            </w:pPr>
          </w:p>
        </w:tc>
      </w:tr>
    </w:tbl>
    <w:p w:rsidR="00D35629" w:rsidRDefault="00D35629" w:rsidP="00652B29">
      <w:pPr>
        <w:spacing w:after="100" w:afterAutospacing="1"/>
        <w:rPr>
          <w:rFonts w:ascii="Calibri" w:hAnsi="Calibri"/>
        </w:rPr>
      </w:pPr>
    </w:p>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976FB8">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976FB8">
      <w:rPr>
        <w:rFonts w:ascii="Calibri" w:hAnsi="Calibri"/>
        <w:b/>
        <w:noProof/>
        <w:sz w:val="20"/>
        <w:szCs w:val="20"/>
      </w:rPr>
      <w:t>3</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D8173F6"/>
    <w:multiLevelType w:val="hybridMultilevel"/>
    <w:tmpl w:val="84D8BBDE"/>
    <w:lvl w:ilvl="0" w:tplc="B0B6CD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25F19"/>
    <w:multiLevelType w:val="hybridMultilevel"/>
    <w:tmpl w:val="06C4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E10D4"/>
    <w:multiLevelType w:val="hybridMultilevel"/>
    <w:tmpl w:val="453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2"/>
  </w:num>
  <w:num w:numId="5">
    <w:abstractNumId w:val="8"/>
  </w:num>
  <w:num w:numId="6">
    <w:abstractNumId w:val="12"/>
  </w:num>
  <w:num w:numId="7">
    <w:abstractNumId w:val="1"/>
  </w:num>
  <w:num w:numId="8">
    <w:abstractNumId w:val="13"/>
  </w:num>
  <w:num w:numId="9">
    <w:abstractNumId w:val="14"/>
  </w:num>
  <w:num w:numId="10">
    <w:abstractNumId w:val="10"/>
  </w:num>
  <w:num w:numId="11">
    <w:abstractNumId w:val="3"/>
  </w:num>
  <w:num w:numId="12">
    <w:abstractNumId w:val="5"/>
  </w:num>
  <w:num w:numId="13">
    <w:abstractNumId w:val="9"/>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42"/>
    <w:rsid w:val="0000092B"/>
    <w:rsid w:val="0001126C"/>
    <w:rsid w:val="000202B3"/>
    <w:rsid w:val="00031167"/>
    <w:rsid w:val="00037422"/>
    <w:rsid w:val="00046D31"/>
    <w:rsid w:val="00065551"/>
    <w:rsid w:val="00097987"/>
    <w:rsid w:val="000A40AE"/>
    <w:rsid w:val="000A7AED"/>
    <w:rsid w:val="000B12F4"/>
    <w:rsid w:val="000B70C4"/>
    <w:rsid w:val="000E69AC"/>
    <w:rsid w:val="000E7D16"/>
    <w:rsid w:val="000F293F"/>
    <w:rsid w:val="000F3F4C"/>
    <w:rsid w:val="000F77D1"/>
    <w:rsid w:val="001251AD"/>
    <w:rsid w:val="001320A7"/>
    <w:rsid w:val="00145465"/>
    <w:rsid w:val="001568B1"/>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3B7A"/>
    <w:rsid w:val="003549D3"/>
    <w:rsid w:val="003738F2"/>
    <w:rsid w:val="0039653E"/>
    <w:rsid w:val="003A37DE"/>
    <w:rsid w:val="003B15D7"/>
    <w:rsid w:val="003C53AA"/>
    <w:rsid w:val="003E2E95"/>
    <w:rsid w:val="003F2AA2"/>
    <w:rsid w:val="0040197F"/>
    <w:rsid w:val="004066B9"/>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D69D6"/>
    <w:rsid w:val="005E2CAF"/>
    <w:rsid w:val="005E3AB3"/>
    <w:rsid w:val="005F0F41"/>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39EA"/>
    <w:rsid w:val="007A7FF1"/>
    <w:rsid w:val="007B111E"/>
    <w:rsid w:val="007E38B9"/>
    <w:rsid w:val="007E6960"/>
    <w:rsid w:val="007F3D2C"/>
    <w:rsid w:val="00800551"/>
    <w:rsid w:val="00800E42"/>
    <w:rsid w:val="00806A57"/>
    <w:rsid w:val="00812A2C"/>
    <w:rsid w:val="00835DD3"/>
    <w:rsid w:val="0084482B"/>
    <w:rsid w:val="00853B49"/>
    <w:rsid w:val="00881603"/>
    <w:rsid w:val="00890040"/>
    <w:rsid w:val="008934AD"/>
    <w:rsid w:val="008B5B32"/>
    <w:rsid w:val="008C1556"/>
    <w:rsid w:val="008C6EDA"/>
    <w:rsid w:val="008D104C"/>
    <w:rsid w:val="008E5F3A"/>
    <w:rsid w:val="00916A14"/>
    <w:rsid w:val="00934316"/>
    <w:rsid w:val="0094387D"/>
    <w:rsid w:val="00945EAE"/>
    <w:rsid w:val="0096138D"/>
    <w:rsid w:val="00976FB8"/>
    <w:rsid w:val="009773A3"/>
    <w:rsid w:val="00996C68"/>
    <w:rsid w:val="009A5953"/>
    <w:rsid w:val="009B690D"/>
    <w:rsid w:val="009E2F66"/>
    <w:rsid w:val="009E381A"/>
    <w:rsid w:val="009F6F03"/>
    <w:rsid w:val="00A008BC"/>
    <w:rsid w:val="00A05D98"/>
    <w:rsid w:val="00AA5AA2"/>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268F6"/>
    <w:rsid w:val="00C74345"/>
    <w:rsid w:val="00C74D13"/>
    <w:rsid w:val="00C77DAD"/>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253C5"/>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A39E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A39EA"/>
    <w:rPr>
      <w:sz w:val="16"/>
      <w:szCs w:val="16"/>
    </w:rPr>
  </w:style>
  <w:style w:type="paragraph" w:styleId="CommentText">
    <w:name w:val="annotation text"/>
    <w:basedOn w:val="Normal"/>
    <w:link w:val="CommentTextChar"/>
    <w:uiPriority w:val="99"/>
    <w:semiHidden/>
    <w:unhideWhenUsed/>
    <w:rsid w:val="007A39E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A3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A39E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A39EA"/>
    <w:rPr>
      <w:sz w:val="16"/>
      <w:szCs w:val="16"/>
    </w:rPr>
  </w:style>
  <w:style w:type="paragraph" w:styleId="CommentText">
    <w:name w:val="annotation text"/>
    <w:basedOn w:val="Normal"/>
    <w:link w:val="CommentTextChar"/>
    <w:uiPriority w:val="99"/>
    <w:semiHidden/>
    <w:unhideWhenUsed/>
    <w:rsid w:val="007A39E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A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Sarah Tongier</cp:lastModifiedBy>
  <cp:revision>10</cp:revision>
  <cp:lastPrinted>2012-11-27T20:45:00Z</cp:lastPrinted>
  <dcterms:created xsi:type="dcterms:W3CDTF">2015-11-24T20:00:00Z</dcterms:created>
  <dcterms:modified xsi:type="dcterms:W3CDTF">2015-11-24T20:34:00Z</dcterms:modified>
</cp:coreProperties>
</file>