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Pr="00023121" w:rsidRDefault="00054D47" w:rsidP="000B12F4">
      <w:pPr>
        <w:pStyle w:val="Header"/>
        <w:spacing w:before="120"/>
        <w:jc w:val="center"/>
        <w:rPr>
          <w:rFonts w:ascii="Calibri" w:hAnsi="Calibri" w:cs="Arial"/>
          <w:b/>
          <w:bCs/>
          <w:noProof/>
          <w:lang w:val="en-US"/>
        </w:rPr>
      </w:pPr>
      <w:bookmarkStart w:id="0" w:name="_GoBack"/>
      <w:bookmarkEnd w:id="0"/>
      <w:r>
        <w:rPr>
          <w:rFonts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251657728;visibility:visible">
            <v:imagedata r:id="rId8" o:title=""/>
          </v:shape>
        </w:pict>
      </w:r>
      <w:r>
        <w:rPr>
          <w:rFonts w:ascii="Calibri" w:hAnsi="Calibri"/>
          <w:noProof/>
        </w:rPr>
        <w:pict>
          <v:shape id="_x0000_s1027" type="#_x0000_t75" style="position:absolute;left:0;text-align:left;margin-left:0;margin-top:0;width:7in;height:66.2pt;z-index:-251657728;mso-position-horizontal:center" stroked="t" strokeweight="2pt">
            <v:imagedata r:id="rId9" o:title=""/>
            <o:lock v:ext="edit" aspectratio="f"/>
          </v:shape>
          <o:OLEObject Type="Embed" ProgID="Visio.Drawing.11" ShapeID="_x0000_s1027" DrawAspect="Content" ObjectID="_1508828805" r:id="rId10"/>
        </w:pict>
      </w:r>
      <w:r w:rsidR="00800E42" w:rsidRPr="00023121">
        <w:rPr>
          <w:rFonts w:ascii="Calibri" w:hAnsi="Calibri" w:cs="Arial"/>
          <w:b/>
          <w:bCs/>
          <w:noProof/>
        </w:rPr>
        <w:t>State of Kansas</w:t>
      </w:r>
    </w:p>
    <w:p w:rsidR="000F77D1" w:rsidRPr="00023121" w:rsidRDefault="00023121" w:rsidP="00023121">
      <w:pPr>
        <w:pStyle w:val="Header"/>
        <w:jc w:val="center"/>
        <w:rPr>
          <w:rFonts w:ascii="Calibri" w:hAnsi="Calibri" w:cs="Arial"/>
          <w:b/>
          <w:bCs/>
          <w:noProof/>
          <w:lang w:val="en-US"/>
        </w:rPr>
      </w:pPr>
      <w:r w:rsidRPr="00023121">
        <w:rPr>
          <w:rFonts w:ascii="Calibri" w:hAnsi="Calibri" w:cs="Arial"/>
          <w:b/>
          <w:bCs/>
          <w:noProof/>
          <w:lang w:val="en-US"/>
        </w:rPr>
        <w:t>High-Level Changes from 9.0 to 9.2 in Asset Management:</w:t>
      </w:r>
    </w:p>
    <w:p w:rsidR="00023121" w:rsidRPr="00023121" w:rsidRDefault="00253ECF" w:rsidP="00023121">
      <w:pPr>
        <w:pStyle w:val="Header"/>
        <w:jc w:val="center"/>
        <w:rPr>
          <w:rFonts w:ascii="Calibri" w:hAnsi="Calibri" w:cs="Arial"/>
          <w:b/>
          <w:bCs/>
          <w:noProof/>
          <w:lang w:val="en-US"/>
        </w:rPr>
      </w:pPr>
      <w:r>
        <w:rPr>
          <w:rFonts w:ascii="Calibri" w:hAnsi="Calibri" w:cs="Arial"/>
          <w:b/>
          <w:bCs/>
          <w:noProof/>
          <w:lang w:val="en-US"/>
        </w:rPr>
        <w:t>Interface ID Load Status Updates</w:t>
      </w:r>
    </w:p>
    <w:p w:rsidR="00341BE7" w:rsidRPr="00780E53" w:rsidRDefault="00800E42" w:rsidP="00780E53">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161D65" w:rsidTr="00780E53">
        <w:tc>
          <w:tcPr>
            <w:tcW w:w="3240" w:type="dxa"/>
          </w:tcPr>
          <w:p w:rsidR="00AF2E3C" w:rsidRDefault="00AF2E3C" w:rsidP="00161D65">
            <w:pPr>
              <w:rPr>
                <w:rFonts w:ascii="Calibri" w:hAnsi="Calibri"/>
                <w:b/>
                <w:noProof/>
              </w:rPr>
            </w:pPr>
            <w:r>
              <w:rPr>
                <w:rFonts w:ascii="Calibri" w:hAnsi="Calibri"/>
                <w:b/>
                <w:noProof/>
              </w:rPr>
              <w:t>Date Created:</w:t>
            </w:r>
          </w:p>
        </w:tc>
        <w:tc>
          <w:tcPr>
            <w:tcW w:w="6930" w:type="dxa"/>
          </w:tcPr>
          <w:p w:rsidR="003738F2" w:rsidRPr="0049585B" w:rsidRDefault="00023121" w:rsidP="00290E9D">
            <w:pPr>
              <w:rPr>
                <w:rFonts w:ascii="Calibri" w:hAnsi="Calibri"/>
                <w:sz w:val="22"/>
                <w:szCs w:val="22"/>
              </w:rPr>
            </w:pPr>
            <w:r>
              <w:rPr>
                <w:rFonts w:ascii="Calibri" w:hAnsi="Calibri"/>
                <w:sz w:val="22"/>
                <w:szCs w:val="22"/>
              </w:rPr>
              <w:t>10/28</w:t>
            </w:r>
            <w:r w:rsidR="005E2CAF">
              <w:rPr>
                <w:rFonts w:ascii="Calibri" w:hAnsi="Calibri"/>
                <w:sz w:val="22"/>
                <w:szCs w:val="22"/>
              </w:rPr>
              <w:t>/2015</w:t>
            </w:r>
          </w:p>
        </w:tc>
      </w:tr>
      <w:tr w:rsidR="00AF2E3C" w:rsidRPr="00161D65" w:rsidTr="00780E53">
        <w:tc>
          <w:tcPr>
            <w:tcW w:w="3240" w:type="dxa"/>
          </w:tcPr>
          <w:p w:rsidR="00AF2E3C" w:rsidRDefault="00AF2E3C" w:rsidP="00161D65">
            <w:pPr>
              <w:rPr>
                <w:rFonts w:ascii="Calibri" w:hAnsi="Calibri"/>
                <w:b/>
                <w:noProof/>
              </w:rPr>
            </w:pPr>
            <w:r>
              <w:rPr>
                <w:rFonts w:ascii="Calibri" w:hAnsi="Calibri"/>
                <w:b/>
                <w:noProof/>
              </w:rPr>
              <w:t>Version:</w:t>
            </w:r>
          </w:p>
        </w:tc>
        <w:tc>
          <w:tcPr>
            <w:tcW w:w="6930" w:type="dxa"/>
          </w:tcPr>
          <w:p w:rsidR="00AF2E3C" w:rsidRPr="0049585B" w:rsidRDefault="000B12F4" w:rsidP="00EE1A38">
            <w:pPr>
              <w:rPr>
                <w:rFonts w:ascii="Calibri" w:hAnsi="Calibri"/>
                <w:sz w:val="22"/>
                <w:szCs w:val="22"/>
              </w:rPr>
            </w:pPr>
            <w:r>
              <w:rPr>
                <w:rFonts w:ascii="Calibri" w:hAnsi="Calibri"/>
                <w:sz w:val="22"/>
                <w:szCs w:val="22"/>
              </w:rPr>
              <w:t>1.0</w:t>
            </w:r>
          </w:p>
        </w:tc>
      </w:tr>
      <w:tr w:rsidR="003738F2" w:rsidRPr="00161D65" w:rsidTr="00780E53">
        <w:tc>
          <w:tcPr>
            <w:tcW w:w="3240" w:type="dxa"/>
          </w:tcPr>
          <w:p w:rsidR="003738F2" w:rsidRDefault="003738F2" w:rsidP="00161D65">
            <w:pPr>
              <w:rPr>
                <w:rFonts w:ascii="Calibri" w:hAnsi="Calibri"/>
                <w:b/>
                <w:noProof/>
              </w:rPr>
            </w:pPr>
            <w:r>
              <w:rPr>
                <w:rFonts w:ascii="Calibri" w:hAnsi="Calibri"/>
                <w:b/>
                <w:noProof/>
              </w:rPr>
              <w:t>Last Updated Date:</w:t>
            </w:r>
          </w:p>
        </w:tc>
        <w:tc>
          <w:tcPr>
            <w:tcW w:w="6930" w:type="dxa"/>
          </w:tcPr>
          <w:p w:rsidR="003738F2" w:rsidRPr="0049585B" w:rsidRDefault="003738F2" w:rsidP="00254DE3">
            <w:pPr>
              <w:rPr>
                <w:rFonts w:ascii="Calibri" w:hAnsi="Calibri"/>
                <w:sz w:val="22"/>
                <w:szCs w:val="22"/>
              </w:rPr>
            </w:pPr>
          </w:p>
        </w:tc>
      </w:tr>
      <w:tr w:rsidR="00161D65" w:rsidRPr="00161D65" w:rsidTr="00780E53">
        <w:tc>
          <w:tcPr>
            <w:tcW w:w="3240" w:type="dxa"/>
          </w:tcPr>
          <w:p w:rsidR="00161D65" w:rsidRPr="00161D65" w:rsidRDefault="009C75EE" w:rsidP="000B12F4">
            <w:pPr>
              <w:rPr>
                <w:rFonts w:ascii="Calibri" w:hAnsi="Calibri"/>
                <w:b/>
                <w:noProof/>
              </w:rPr>
            </w:pPr>
            <w:r>
              <w:rPr>
                <w:rFonts w:ascii="Calibri" w:hAnsi="Calibri"/>
                <w:b/>
                <w:noProof/>
              </w:rPr>
              <w:t>Purpose</w:t>
            </w:r>
            <w:r w:rsidR="00161D65" w:rsidRPr="00161D65">
              <w:rPr>
                <w:rFonts w:ascii="Calibri" w:hAnsi="Calibri"/>
                <w:b/>
                <w:noProof/>
              </w:rPr>
              <w:t>:</w:t>
            </w:r>
          </w:p>
        </w:tc>
        <w:tc>
          <w:tcPr>
            <w:tcW w:w="6930" w:type="dxa"/>
          </w:tcPr>
          <w:p w:rsidR="00DD2131" w:rsidRPr="009B690D" w:rsidRDefault="009C75EE" w:rsidP="000B12F4">
            <w:pPr>
              <w:rPr>
                <w:rFonts w:ascii="Calibri" w:hAnsi="Calibri"/>
                <w:i/>
                <w:noProof/>
                <w:sz w:val="22"/>
                <w:szCs w:val="22"/>
              </w:rPr>
            </w:pPr>
            <w:r>
              <w:rPr>
                <w:rFonts w:ascii="Calibri" w:hAnsi="Calibri"/>
                <w:i/>
                <w:noProof/>
                <w:sz w:val="22"/>
                <w:szCs w:val="22"/>
              </w:rPr>
              <w:t>This document highlights one of the changes between 9.0 and 9.2 in the Asset Management module.</w:t>
            </w:r>
          </w:p>
        </w:tc>
      </w:tr>
      <w:tr w:rsidR="000B12F4" w:rsidRPr="00161D65" w:rsidTr="00780E53">
        <w:tc>
          <w:tcPr>
            <w:tcW w:w="3240" w:type="dxa"/>
          </w:tcPr>
          <w:p w:rsidR="000B12F4" w:rsidRPr="00161D65" w:rsidRDefault="000B12F4" w:rsidP="00161D65">
            <w:pPr>
              <w:rPr>
                <w:rFonts w:ascii="Calibri" w:hAnsi="Calibri"/>
                <w:b/>
                <w:noProof/>
              </w:rPr>
            </w:pPr>
            <w:r>
              <w:rPr>
                <w:rFonts w:ascii="Calibri" w:hAnsi="Calibri"/>
                <w:b/>
                <w:noProof/>
              </w:rPr>
              <w:t>Security:</w:t>
            </w:r>
          </w:p>
        </w:tc>
        <w:tc>
          <w:tcPr>
            <w:tcW w:w="6930" w:type="dxa"/>
          </w:tcPr>
          <w:p w:rsidR="000B12F4" w:rsidRDefault="000B12F4" w:rsidP="006105D7">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w:t>
            </w:r>
            <w:r w:rsidR="009C75EE">
              <w:rPr>
                <w:rFonts w:ascii="Calibri" w:hAnsi="Calibri"/>
                <w:noProof/>
                <w:sz w:val="22"/>
                <w:szCs w:val="22"/>
              </w:rPr>
              <w:t>The following roles are applicable:</w:t>
            </w:r>
          </w:p>
          <w:p w:rsidR="00AE38EE" w:rsidRDefault="00745417" w:rsidP="00AE38EE">
            <w:pPr>
              <w:ind w:left="432"/>
              <w:rPr>
                <w:rFonts w:ascii="Calibri" w:hAnsi="Calibri"/>
                <w:noProof/>
                <w:sz w:val="22"/>
                <w:szCs w:val="22"/>
              </w:rPr>
            </w:pPr>
            <w:r>
              <w:rPr>
                <w:rFonts w:ascii="Calibri" w:hAnsi="Calibri"/>
                <w:noProof/>
                <w:sz w:val="22"/>
                <w:szCs w:val="22"/>
              </w:rPr>
              <w:t xml:space="preserve">Agency </w:t>
            </w:r>
            <w:r w:rsidR="00457EAB">
              <w:rPr>
                <w:rFonts w:ascii="Calibri" w:hAnsi="Calibri"/>
                <w:noProof/>
                <w:sz w:val="22"/>
                <w:szCs w:val="22"/>
              </w:rPr>
              <w:t>Asset Processor</w:t>
            </w:r>
          </w:p>
          <w:p w:rsidR="00406E0B" w:rsidRDefault="00406E0B" w:rsidP="009C75EE">
            <w:pPr>
              <w:ind w:left="432"/>
              <w:rPr>
                <w:rFonts w:ascii="Calibri" w:hAnsi="Calibri"/>
                <w:noProof/>
                <w:sz w:val="22"/>
                <w:szCs w:val="22"/>
              </w:rPr>
            </w:pPr>
          </w:p>
          <w:p w:rsidR="000B12F4" w:rsidRPr="00CD0715" w:rsidRDefault="000B12F4" w:rsidP="009C75EE">
            <w:pPr>
              <w:ind w:left="432"/>
              <w:rPr>
                <w:rFonts w:ascii="Calibri" w:hAnsi="Calibri"/>
                <w:noProof/>
                <w:sz w:val="22"/>
                <w:szCs w:val="22"/>
              </w:rPr>
            </w:pPr>
            <w:r w:rsidRPr="0049585B">
              <w:rPr>
                <w:rFonts w:ascii="Calibri" w:hAnsi="Calibri"/>
                <w:noProof/>
                <w:sz w:val="22"/>
                <w:szCs w:val="22"/>
                <w:u w:val="single"/>
              </w:rPr>
              <w:t>BU Security:</w:t>
            </w:r>
            <w:r w:rsidRPr="0049585B">
              <w:rPr>
                <w:rFonts w:ascii="Calibri" w:hAnsi="Calibri"/>
                <w:noProof/>
                <w:sz w:val="22"/>
                <w:szCs w:val="22"/>
              </w:rPr>
              <w:t xml:space="preserve">  </w:t>
            </w:r>
            <w:r>
              <w:rPr>
                <w:rFonts w:ascii="Calibri" w:hAnsi="Calibri"/>
                <w:noProof/>
                <w:sz w:val="22"/>
                <w:szCs w:val="22"/>
              </w:rPr>
              <w:t>Business Unit Security is applied.  Agencies w</w:t>
            </w:r>
            <w:r w:rsidR="009C75EE">
              <w:rPr>
                <w:rFonts w:ascii="Calibri" w:hAnsi="Calibri"/>
                <w:noProof/>
                <w:sz w:val="22"/>
                <w:szCs w:val="22"/>
              </w:rPr>
              <w:t>ill only have access to the assets in their Business U</w:t>
            </w:r>
            <w:r>
              <w:rPr>
                <w:rFonts w:ascii="Calibri" w:hAnsi="Calibri"/>
                <w:noProof/>
                <w:sz w:val="22"/>
                <w:szCs w:val="22"/>
              </w:rPr>
              <w:t xml:space="preserve">nit. </w:t>
            </w:r>
            <w:r w:rsidRPr="0049585B">
              <w:rPr>
                <w:rFonts w:ascii="Calibri" w:hAnsi="Calibri"/>
                <w:noProof/>
                <w:sz w:val="22"/>
                <w:szCs w:val="22"/>
              </w:rPr>
              <w:t xml:space="preserve"> </w:t>
            </w:r>
          </w:p>
        </w:tc>
      </w:tr>
    </w:tbl>
    <w:p w:rsidR="00253ECF" w:rsidRDefault="00253ECF" w:rsidP="00253ECF">
      <w:pPr>
        <w:pStyle w:val="procedure"/>
        <w:spacing w:before="120"/>
        <w:rPr>
          <w:rFonts w:cs="Times New Roman"/>
        </w:rPr>
      </w:pPr>
      <w:r>
        <w:t>Procedure</w:t>
      </w:r>
    </w:p>
    <w:p w:rsidR="00253ECF" w:rsidRDefault="00253ECF" w:rsidP="00253ECF"/>
    <w:p w:rsidR="00253ECF" w:rsidRDefault="00253ECF" w:rsidP="00253ECF">
      <w:pPr>
        <w:pStyle w:val="steptext"/>
      </w:pPr>
      <w:r>
        <w:t xml:space="preserve">Sometimes it is necessary to change an Interface ID's Load Status. For instance, if data integrates into the Transaction Loader Tables that should not have because it is a service and not an asset, agency users change the Load Status from </w:t>
      </w:r>
      <w:r>
        <w:rPr>
          <w:i/>
        </w:rPr>
        <w:t>Pending</w:t>
      </w:r>
      <w:r>
        <w:t xml:space="preserve"> (which indicates that line is available to be processed by the Transaction Loader process) to </w:t>
      </w:r>
      <w:r>
        <w:rPr>
          <w:i/>
        </w:rPr>
        <w:t>Replaced</w:t>
      </w:r>
      <w:r>
        <w:t xml:space="preserve"> (which does not allow that line to be picked up by the Transaction Loader). A status of </w:t>
      </w:r>
      <w:r>
        <w:rPr>
          <w:i/>
        </w:rPr>
        <w:t>Replaced</w:t>
      </w:r>
      <w:r>
        <w:t xml:space="preserve"> indicates that line has been reviewed, and it has been determined that line should never load.</w:t>
      </w:r>
    </w:p>
    <w:p w:rsidR="00253ECF" w:rsidRDefault="00253ECF" w:rsidP="00253ECF">
      <w:pPr>
        <w:pStyle w:val="steptext"/>
      </w:pPr>
    </w:p>
    <w:p w:rsidR="00253ECF" w:rsidRDefault="00253ECF" w:rsidP="00253ECF">
      <w:pPr>
        <w:pStyle w:val="steptext"/>
      </w:pPr>
      <w:r>
        <w:t>Agency users who have changed the Load Status in 9.0 will recall that you must change the Load Status on both the Financial and Physical sides of the Interface ID. In 9.2, you only have to change the status in one place.</w:t>
      </w:r>
    </w:p>
    <w:p w:rsidR="00253ECF" w:rsidRDefault="00253ECF" w:rsidP="00253ECF">
      <w:pPr>
        <w:spacing w:before="240"/>
        <w:jc w:val="center"/>
      </w:pP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1" w:name="T13_F4"/>
            <w:bookmarkEnd w:id="1"/>
          </w:p>
        </w:tc>
        <w:tc>
          <w:tcPr>
            <w:tcW w:w="4291" w:type="pct"/>
          </w:tcPr>
          <w:p w:rsidR="00253ECF" w:rsidRDefault="00253ECF" w:rsidP="00986ED9">
            <w:pPr>
              <w:pStyle w:val="steptext"/>
            </w:pPr>
            <w:r>
              <w:t>Click the object.</w:t>
            </w:r>
          </w:p>
          <w:p w:rsidR="00253ECF" w:rsidRDefault="00054D47" w:rsidP="00986ED9">
            <w:pPr>
              <w:spacing w:before="60" w:after="60"/>
            </w:pPr>
            <w:r>
              <w:pict>
                <v:shape id="_x0000_i1026" type="#_x0000_t75" style="width:63.75pt;height:22.5pt" o:bordertopcolor="this" o:borderleftcolor="this" o:borderbottomcolor="this" o:borderrightcolor="this">
                  <v:imagedata r:id="rId11" o:title=""/>
                </v:shape>
              </w:pic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2" w:name="T13_F8"/>
            <w:bookmarkEnd w:id="2"/>
          </w:p>
        </w:tc>
        <w:tc>
          <w:tcPr>
            <w:tcW w:w="4291" w:type="pct"/>
          </w:tcPr>
          <w:p w:rsidR="00253ECF" w:rsidRDefault="00253ECF" w:rsidP="00986ED9">
            <w:pPr>
              <w:pStyle w:val="steptext"/>
            </w:pPr>
            <w:r>
              <w:t xml:space="preserve">Click the </w:t>
            </w:r>
            <w:r>
              <w:rPr>
                <w:b/>
                <w:color w:val="000080"/>
              </w:rPr>
              <w:t>Asset Management</w:t>
            </w:r>
            <w:r>
              <w:t xml:space="preserve"> menu.</w:t>
            </w:r>
          </w:p>
          <w:p w:rsidR="00253ECF" w:rsidRDefault="00054D47" w:rsidP="00986ED9">
            <w:pPr>
              <w:spacing w:before="60" w:after="60"/>
            </w:pPr>
            <w:r>
              <w:pict>
                <v:shape id="_x0000_i1027" type="#_x0000_t75" style="width:209.25pt;height:17.25pt" o:bordertopcolor="this" o:borderleftcolor="this" o:borderbottomcolor="this" o:borderrightcolor="this">
                  <v:imagedata r:id="rId12" o:title=""/>
                </v:shape>
              </w:pic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3" w:name="T13_F10"/>
            <w:bookmarkEnd w:id="3"/>
          </w:p>
        </w:tc>
        <w:tc>
          <w:tcPr>
            <w:tcW w:w="4291" w:type="pct"/>
          </w:tcPr>
          <w:p w:rsidR="00253ECF" w:rsidRDefault="00253ECF" w:rsidP="00986ED9">
            <w:pPr>
              <w:pStyle w:val="steptext"/>
            </w:pPr>
            <w:r>
              <w:t xml:space="preserve">Click the </w:t>
            </w:r>
            <w:r>
              <w:rPr>
                <w:b/>
                <w:color w:val="000080"/>
              </w:rPr>
              <w:t>Send/Receive Information</w:t>
            </w:r>
            <w:r>
              <w:t xml:space="preserve"> menu.</w:t>
            </w:r>
          </w:p>
          <w:p w:rsidR="00253ECF" w:rsidRDefault="00054D47" w:rsidP="00986ED9">
            <w:pPr>
              <w:spacing w:before="60" w:after="60"/>
            </w:pPr>
            <w:r>
              <w:pict>
                <v:shape id="_x0000_i1028" type="#_x0000_t75" style="width:209.25pt;height:17.25pt" o:bordertopcolor="this" o:borderleftcolor="this" o:borderbottomcolor="this" o:borderrightcolor="this">
                  <v:imagedata r:id="rId13" o:title=""/>
                </v:shape>
              </w:pic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4" w:name="T13_F12"/>
            <w:bookmarkEnd w:id="4"/>
          </w:p>
        </w:tc>
        <w:tc>
          <w:tcPr>
            <w:tcW w:w="4291" w:type="pct"/>
          </w:tcPr>
          <w:p w:rsidR="00253ECF" w:rsidRDefault="00253ECF" w:rsidP="00986ED9">
            <w:pPr>
              <w:pStyle w:val="steptext"/>
            </w:pPr>
            <w:r>
              <w:t xml:space="preserve">Click the </w:t>
            </w:r>
            <w:r>
              <w:rPr>
                <w:b/>
                <w:color w:val="000080"/>
              </w:rPr>
              <w:t>Approve Financial Information</w:t>
            </w:r>
            <w:r>
              <w:t xml:space="preserve"> menu.</w:t>
            </w:r>
          </w:p>
          <w:p w:rsidR="00253ECF" w:rsidRDefault="00054D47" w:rsidP="00986ED9">
            <w:pPr>
              <w:spacing w:before="60" w:after="60"/>
            </w:pPr>
            <w:r>
              <w:pict>
                <v:shape id="_x0000_i1029" type="#_x0000_t75" style="width:210pt;height:18pt" o:bordertopcolor="this" o:borderleftcolor="this" o:borderbottomcolor="this" o:borderrightcolor="this">
                  <v:imagedata r:id="rId14" o:title=""/>
                </v:shape>
              </w:pict>
            </w:r>
          </w:p>
        </w:tc>
      </w:tr>
    </w:tbl>
    <w:p w:rsidR="00253ECF" w:rsidRDefault="00253ECF" w:rsidP="00253ECF"/>
    <w:p w:rsidR="00253ECF" w:rsidRDefault="00054D47" w:rsidP="00253ECF">
      <w:pPr>
        <w:spacing w:before="240"/>
        <w:jc w:val="center"/>
      </w:pPr>
      <w:r>
        <w:lastRenderedPageBreak/>
        <w:pict>
          <v:shape id="_x0000_i1030" type="#_x0000_t75" style="width:327pt;height:204.75pt"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5" w:name="T13_F20"/>
            <w:bookmarkEnd w:id="5"/>
          </w:p>
        </w:tc>
        <w:tc>
          <w:tcPr>
            <w:tcW w:w="4291" w:type="pct"/>
          </w:tcPr>
          <w:p w:rsidR="00253ECF" w:rsidRDefault="00253ECF" w:rsidP="00986ED9">
            <w:pPr>
              <w:pStyle w:val="steptext"/>
            </w:pPr>
            <w:r>
              <w:t xml:space="preserve">Click the </w:t>
            </w:r>
            <w:r>
              <w:rPr>
                <w:b/>
                <w:color w:val="000080"/>
              </w:rPr>
              <w:t>Review</w:t>
            </w:r>
            <w:r>
              <w:t xml:space="preserve"> menu.</w:t>
            </w:r>
          </w:p>
          <w:p w:rsidR="00253ECF" w:rsidRDefault="00054D47" w:rsidP="00986ED9">
            <w:pPr>
              <w:spacing w:before="60" w:after="60"/>
            </w:pPr>
            <w:r>
              <w:pict>
                <v:shape id="_x0000_i1031" type="#_x0000_t75" style="width:210pt;height:18pt" o:bordertopcolor="this" o:borderleftcolor="this" o:borderbottomcolor="this" o:borderrightcolor="this">
                  <v:imagedata r:id="rId16" o:title=""/>
                </v:shape>
              </w:pict>
            </w:r>
          </w:p>
        </w:tc>
      </w:tr>
    </w:tbl>
    <w:p w:rsidR="00253ECF" w:rsidRDefault="00253ECF" w:rsidP="00253ECF"/>
    <w:p w:rsidR="00253ECF" w:rsidRDefault="00054D47" w:rsidP="00253ECF">
      <w:pPr>
        <w:spacing w:before="240"/>
        <w:jc w:val="center"/>
      </w:pPr>
      <w:r>
        <w:pict>
          <v:shape id="_x0000_i1032" type="#_x0000_t75" style="width:327pt;height:204.75pt" o:bordertopcolor="this" o:borderleftcolor="this" o:borderbottomcolor="this" o:borderrightcolor="this">
            <v:imagedata r:id="rId17"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6" w:name="T13_F22"/>
            <w:bookmarkEnd w:id="6"/>
          </w:p>
        </w:tc>
        <w:tc>
          <w:tcPr>
            <w:tcW w:w="4291" w:type="pct"/>
          </w:tcPr>
          <w:p w:rsidR="00253ECF" w:rsidRDefault="00253ECF" w:rsidP="00986ED9">
            <w:pPr>
              <w:pStyle w:val="steptext"/>
            </w:pPr>
            <w:r>
              <w:t xml:space="preserve">In this example, we are going to change an Interface ID's status from </w:t>
            </w:r>
            <w:r>
              <w:rPr>
                <w:i/>
              </w:rPr>
              <w:t>Pending</w:t>
            </w:r>
            <w:r>
              <w:t xml:space="preserve"> to </w:t>
            </w:r>
            <w:r>
              <w:rPr>
                <w:i/>
              </w:rPr>
              <w:t>Replaced</w:t>
            </w:r>
            <w:r>
              <w:t>. First we'll search for a Pending Interface ID.</w:t>
            </w:r>
          </w:p>
          <w:p w:rsidR="00253ECF" w:rsidRDefault="00253ECF" w:rsidP="00986ED9">
            <w:pPr>
              <w:pStyle w:val="steptext"/>
            </w:pPr>
          </w:p>
          <w:p w:rsidR="00253ECF" w:rsidRDefault="00253ECF" w:rsidP="00986ED9">
            <w:pPr>
              <w:pStyle w:val="steptext"/>
            </w:pPr>
            <w:r>
              <w:t>Click the </w:t>
            </w:r>
            <w:r>
              <w:rPr>
                <w:b/>
                <w:color w:val="000080"/>
              </w:rPr>
              <w:t>Pending</w:t>
            </w:r>
            <w:r>
              <w:t> list item.</w:t>
            </w:r>
          </w:p>
          <w:p w:rsidR="00253ECF" w:rsidRDefault="00054D47" w:rsidP="00986ED9">
            <w:pPr>
              <w:spacing w:before="60" w:after="60"/>
            </w:pPr>
            <w:r>
              <w:pict>
                <v:shape id="_x0000_i1033" type="#_x0000_t75" style="width:152.25pt;height:10.5pt" o:bordertopcolor="this" o:borderleftcolor="this" o:borderbottomcolor="this" o:borderrightcolor="this">
                  <v:imagedata r:id="rId18" o:title=""/>
                </v:shape>
              </w:pic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7" w:name="T13_F24"/>
            <w:bookmarkEnd w:id="7"/>
          </w:p>
        </w:tc>
        <w:tc>
          <w:tcPr>
            <w:tcW w:w="4291" w:type="pct"/>
          </w:tcPr>
          <w:p w:rsidR="00253ECF" w:rsidRDefault="00253ECF" w:rsidP="00986ED9">
            <w:pPr>
              <w:pStyle w:val="steptext"/>
            </w:pPr>
            <w:r>
              <w:t>Click the </w:t>
            </w:r>
            <w:r>
              <w:rPr>
                <w:b/>
                <w:color w:val="000080"/>
              </w:rPr>
              <w:t>Search</w:t>
            </w:r>
            <w:r>
              <w:t xml:space="preserve"> button.</w:t>
            </w:r>
          </w:p>
          <w:p w:rsidR="00253ECF" w:rsidRDefault="00054D47" w:rsidP="00986ED9">
            <w:pPr>
              <w:spacing w:before="60" w:after="60"/>
            </w:pPr>
            <w:r>
              <w:pict>
                <v:shape id="_x0000_i1034" type="#_x0000_t75" style="width:54pt;height:15pt" o:bordertopcolor="this" o:borderleftcolor="this" o:borderbottomcolor="this" o:borderrightcolor="this">
                  <v:imagedata r:id="rId19" o:title=""/>
                </v:shape>
              </w:pict>
            </w:r>
          </w:p>
        </w:tc>
      </w:tr>
    </w:tbl>
    <w:p w:rsidR="00253ECF" w:rsidRDefault="00253ECF" w:rsidP="00253ECF"/>
    <w:p w:rsidR="00253ECF" w:rsidRDefault="00054D47" w:rsidP="00253ECF">
      <w:pPr>
        <w:spacing w:before="240"/>
        <w:jc w:val="center"/>
      </w:pPr>
      <w:r>
        <w:lastRenderedPageBreak/>
        <w:pict>
          <v:shape id="_x0000_i1035" type="#_x0000_t75" style="width:327pt;height:204.75pt" o:bordertopcolor="this" o:borderleftcolor="this" o:borderbottomcolor="this" o:borderrightcolor="this">
            <v:imagedata r:id="rId20"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8" w:name="T13_F26"/>
            <w:bookmarkEnd w:id="8"/>
          </w:p>
        </w:tc>
        <w:tc>
          <w:tcPr>
            <w:tcW w:w="4291" w:type="pct"/>
          </w:tcPr>
          <w:p w:rsidR="00253ECF" w:rsidRDefault="00253ECF" w:rsidP="00986ED9">
            <w:pPr>
              <w:pStyle w:val="steptext"/>
            </w:pPr>
            <w:r>
              <w:t>After reviewing the financial data, we determine this line should never load. Now we will change the Load Status.</w:t>
            </w:r>
          </w:p>
          <w:p w:rsidR="00253ECF" w:rsidRDefault="00253ECF" w:rsidP="00986ED9">
            <w:pPr>
              <w:pStyle w:val="steptext"/>
            </w:pPr>
          </w:p>
          <w:p w:rsidR="00253ECF" w:rsidRDefault="00253ECF" w:rsidP="00986ED9">
            <w:pPr>
              <w:pStyle w:val="steptext"/>
            </w:pPr>
            <w:r>
              <w:t>Click the </w:t>
            </w:r>
            <w:r>
              <w:rPr>
                <w:b/>
                <w:color w:val="000080"/>
              </w:rPr>
              <w:t>Load Type/Status</w:t>
            </w:r>
            <w:r>
              <w:t xml:space="preserve"> dropdown.</w:t>
            </w:r>
          </w:p>
          <w:p w:rsidR="00253ECF" w:rsidRDefault="00054D47" w:rsidP="00986ED9">
            <w:pPr>
              <w:spacing w:before="60" w:after="60"/>
            </w:pPr>
            <w:r>
              <w:pict>
                <v:shape id="_x0000_i1036" type="#_x0000_t75" style="width:119.25pt;height:13.5pt" o:bordertopcolor="this" o:borderleftcolor="this" o:borderbottomcolor="this" o:borderrightcolor="this">
                  <v:imagedata r:id="rId21" o:title=""/>
                </v:shape>
              </w:pict>
            </w:r>
          </w:p>
        </w:tc>
      </w:tr>
    </w:tbl>
    <w:p w:rsidR="00253ECF" w:rsidRDefault="00253ECF" w:rsidP="00253ECF"/>
    <w:p w:rsidR="00253ECF" w:rsidRDefault="00054D47" w:rsidP="00253ECF">
      <w:pPr>
        <w:spacing w:before="240"/>
        <w:jc w:val="center"/>
      </w:pPr>
      <w:r>
        <w:pict>
          <v:shape id="_x0000_i1037" type="#_x0000_t75" style="width:327pt;height:204.75pt" o:bordertopcolor="this" o:borderleftcolor="this" o:borderbottomcolor="this" o:borderrightcolor="this">
            <v:imagedata r:id="rId22"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9" w:name="T13_F28"/>
            <w:bookmarkEnd w:id="9"/>
          </w:p>
        </w:tc>
        <w:tc>
          <w:tcPr>
            <w:tcW w:w="4291" w:type="pct"/>
          </w:tcPr>
          <w:p w:rsidR="00253ECF" w:rsidRDefault="00253ECF" w:rsidP="00986ED9">
            <w:pPr>
              <w:pStyle w:val="steptext"/>
            </w:pPr>
            <w:r>
              <w:t xml:space="preserve">Click the </w:t>
            </w:r>
            <w:r>
              <w:rPr>
                <w:b/>
                <w:color w:val="000080"/>
              </w:rPr>
              <w:t>Replaced</w:t>
            </w:r>
            <w:r>
              <w:t xml:space="preserve"> list item.</w:t>
            </w:r>
          </w:p>
          <w:p w:rsidR="00253ECF" w:rsidRDefault="00054D47" w:rsidP="00986ED9">
            <w:pPr>
              <w:spacing w:before="60" w:after="60"/>
            </w:pPr>
            <w:r>
              <w:pict>
                <v:shape id="_x0000_i1038" type="#_x0000_t75" style="width:117pt;height:10.5pt" o:bordertopcolor="this" o:borderleftcolor="this" o:borderbottomcolor="this" o:borderrightcolor="this">
                  <v:imagedata r:id="rId23" o:title=""/>
                </v:shape>
              </w:pict>
            </w:r>
          </w:p>
        </w:tc>
      </w:tr>
    </w:tbl>
    <w:p w:rsidR="00253ECF" w:rsidRDefault="00253ECF" w:rsidP="00253ECF"/>
    <w:p w:rsidR="00253ECF" w:rsidRDefault="00054D47" w:rsidP="00253ECF">
      <w:pPr>
        <w:spacing w:before="240"/>
        <w:jc w:val="center"/>
      </w:pPr>
      <w:r>
        <w:lastRenderedPageBreak/>
        <w:pict>
          <v:shape id="_x0000_i1039" type="#_x0000_t75" style="width:327pt;height:204.75pt" o:bordertopcolor="this" o:borderleftcolor="this" o:borderbottomcolor="this" o:borderrightcolor="this">
            <v:imagedata r:id="rId24"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10" w:name="T13_F30"/>
            <w:bookmarkEnd w:id="10"/>
          </w:p>
        </w:tc>
        <w:tc>
          <w:tcPr>
            <w:tcW w:w="4291" w:type="pct"/>
          </w:tcPr>
          <w:p w:rsidR="00253ECF" w:rsidRDefault="00253ECF" w:rsidP="00986ED9">
            <w:pPr>
              <w:pStyle w:val="steptext"/>
            </w:pPr>
            <w:r>
              <w:t>Click the </w:t>
            </w:r>
            <w:r>
              <w:rPr>
                <w:b/>
                <w:color w:val="000080"/>
              </w:rPr>
              <w:t>Save</w:t>
            </w:r>
            <w:r>
              <w:t> button.</w:t>
            </w:r>
          </w:p>
          <w:p w:rsidR="00253ECF" w:rsidRDefault="00253ECF" w:rsidP="00986ED9">
            <w:pPr>
              <w:pStyle w:val="steptext"/>
            </w:pPr>
          </w:p>
          <w:p w:rsidR="00253ECF" w:rsidRDefault="00253ECF" w:rsidP="00986ED9">
            <w:pPr>
              <w:pStyle w:val="steptext"/>
            </w:pPr>
            <w:r>
              <w:t>After saving in 9.0, you would navigate to Asset Management &gt; Send/Receive Information &gt; Approve Physical Information &gt; Review-A to change the Load Status there as well. But in 9.2, saving it in one place automatically updates the other side of the Interface ID. (It will also work if you change the Physical side first. The Financial side would then update automatically.)</w:t>
            </w:r>
          </w:p>
          <w:p w:rsidR="00253ECF" w:rsidRDefault="00054D47" w:rsidP="00986ED9">
            <w:pPr>
              <w:spacing w:before="60" w:after="60"/>
            </w:pPr>
            <w:r>
              <w:pict>
                <v:shape id="_x0000_i1040" type="#_x0000_t75" style="width:42pt;height:12pt" o:bordertopcolor="this" o:borderleftcolor="this" o:borderbottomcolor="this" o:borderrightcolor="this">
                  <v:imagedata r:id="rId25" o:title=""/>
                </v:shape>
              </w:pict>
            </w:r>
          </w:p>
        </w:tc>
      </w:tr>
    </w:tbl>
    <w:p w:rsidR="00253ECF" w:rsidRDefault="00253ECF" w:rsidP="00253ECF"/>
    <w:p w:rsidR="00253ECF" w:rsidRDefault="00054D47" w:rsidP="00253ECF">
      <w:pPr>
        <w:spacing w:before="240"/>
        <w:jc w:val="center"/>
      </w:pPr>
      <w:r>
        <w:pict>
          <v:shape id="_x0000_i1041" type="#_x0000_t75" style="width:327pt;height:204.75pt" o:bordertopcolor="this" o:borderleftcolor="this" o:borderbottomcolor="this" o:borderrightcolor="this">
            <v:imagedata r:id="rId26"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11" w:name="T13_F38"/>
            <w:bookmarkEnd w:id="11"/>
          </w:p>
        </w:tc>
        <w:tc>
          <w:tcPr>
            <w:tcW w:w="4291" w:type="pct"/>
          </w:tcPr>
          <w:p w:rsidR="00253ECF" w:rsidRDefault="00253ECF" w:rsidP="00986ED9">
            <w:pPr>
              <w:pStyle w:val="steptext"/>
            </w:pPr>
            <w:r>
              <w:t>Navigate to the Physical side to show that it updated automatically.</w:t>
            </w:r>
          </w:p>
          <w:p w:rsidR="00253ECF" w:rsidRDefault="00253ECF" w:rsidP="00986ED9">
            <w:pPr>
              <w:pStyle w:val="steptext"/>
            </w:pPr>
          </w:p>
          <w:p w:rsidR="00253ECF" w:rsidRDefault="00253ECF" w:rsidP="00986ED9">
            <w:pPr>
              <w:pStyle w:val="steptext"/>
            </w:pPr>
            <w:r>
              <w:t>Click the </w:t>
            </w:r>
            <w:r>
              <w:rPr>
                <w:b/>
                <w:color w:val="000080"/>
              </w:rPr>
              <w:t>Send/Receive Information</w:t>
            </w:r>
            <w:r>
              <w:t> button.</w:t>
            </w:r>
          </w:p>
          <w:p w:rsidR="00253ECF" w:rsidRDefault="00054D47" w:rsidP="00986ED9">
            <w:pPr>
              <w:spacing w:before="60" w:after="60"/>
            </w:pPr>
            <w:r>
              <w:pict>
                <v:shape id="_x0000_i1042" type="#_x0000_t75" style="width:116.25pt;height:14.25pt" o:bordertopcolor="this" o:borderleftcolor="this" o:borderbottomcolor="this" o:borderrightcolor="this">
                  <v:imagedata r:id="rId27" o:title=""/>
                </v:shape>
              </w:pic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12" w:name="T13_F40"/>
            <w:bookmarkEnd w:id="12"/>
          </w:p>
        </w:tc>
        <w:tc>
          <w:tcPr>
            <w:tcW w:w="4291" w:type="pct"/>
          </w:tcPr>
          <w:p w:rsidR="00253ECF" w:rsidRDefault="00253ECF" w:rsidP="00986ED9">
            <w:pPr>
              <w:pStyle w:val="steptext"/>
            </w:pPr>
            <w:r>
              <w:t>Click the </w:t>
            </w:r>
            <w:r>
              <w:rPr>
                <w:b/>
                <w:color w:val="000080"/>
              </w:rPr>
              <w:t>Approve Physical Information</w:t>
            </w:r>
            <w:r>
              <w:t xml:space="preserve"> object.</w:t>
            </w:r>
          </w:p>
          <w:p w:rsidR="00253ECF" w:rsidRDefault="00054D47" w:rsidP="00986ED9">
            <w:pPr>
              <w:spacing w:before="60" w:after="60"/>
            </w:pPr>
            <w:r>
              <w:pict>
                <v:shape id="_x0000_i1043" type="#_x0000_t75" style="width:180pt;height:22.5pt" o:bordertopcolor="this" o:borderleftcolor="this" o:borderbottomcolor="this" o:borderrightcolor="this">
                  <v:imagedata r:id="rId28" o:title=""/>
                </v:shape>
              </w:pict>
            </w:r>
          </w:p>
        </w:tc>
      </w:tr>
    </w:tbl>
    <w:p w:rsidR="00253ECF" w:rsidRDefault="00253ECF" w:rsidP="00253ECF"/>
    <w:p w:rsidR="00253ECF" w:rsidRDefault="00054D47" w:rsidP="00253ECF">
      <w:pPr>
        <w:spacing w:before="240"/>
        <w:jc w:val="center"/>
      </w:pPr>
      <w:r>
        <w:pict>
          <v:shape id="_x0000_i1044" type="#_x0000_t75" style="width:327pt;height:204.75pt" o:bordertopcolor="this" o:borderleftcolor="this" o:borderbottomcolor="this" o:borderrightcolor="this">
            <v:imagedata r:id="rId29"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13" w:name="T13_F42"/>
            <w:bookmarkEnd w:id="13"/>
          </w:p>
        </w:tc>
        <w:tc>
          <w:tcPr>
            <w:tcW w:w="4291" w:type="pct"/>
          </w:tcPr>
          <w:p w:rsidR="00253ECF" w:rsidRDefault="00253ECF" w:rsidP="00986ED9">
            <w:pPr>
              <w:pStyle w:val="steptext"/>
            </w:pPr>
            <w:r>
              <w:t xml:space="preserve">Click the </w:t>
            </w:r>
            <w:r>
              <w:rPr>
                <w:b/>
                <w:color w:val="000080"/>
              </w:rPr>
              <w:t>Review-A</w:t>
            </w:r>
            <w:r>
              <w:t xml:space="preserve"> menu.</w:t>
            </w:r>
          </w:p>
          <w:p w:rsidR="00253ECF" w:rsidRDefault="00054D47" w:rsidP="00986ED9">
            <w:pPr>
              <w:spacing w:before="60" w:after="60"/>
            </w:pPr>
            <w:r>
              <w:pict>
                <v:shape id="_x0000_i1045" type="#_x0000_t75" style="width:209.25pt;height:17.25pt" o:bordertopcolor="this" o:borderleftcolor="this" o:borderbottomcolor="this" o:borderrightcolor="this">
                  <v:imagedata r:id="rId30" o:title=""/>
                </v:shape>
              </w:pict>
            </w:r>
          </w:p>
        </w:tc>
      </w:tr>
    </w:tbl>
    <w:p w:rsidR="00253ECF" w:rsidRDefault="00253ECF" w:rsidP="00253ECF"/>
    <w:p w:rsidR="00253ECF" w:rsidRDefault="00054D47" w:rsidP="00253ECF">
      <w:pPr>
        <w:spacing w:before="240"/>
        <w:jc w:val="center"/>
      </w:pPr>
      <w:r>
        <w:pict>
          <v:shape id="_x0000_i1046" type="#_x0000_t75" style="width:327pt;height:204.75pt" o:bordertopcolor="this" o:borderleftcolor="this" o:borderbottomcolor="this" o:borderrightcolor="this">
            <v:imagedata r:id="rId31"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14" w:name="T13_F50"/>
            <w:bookmarkEnd w:id="14"/>
          </w:p>
        </w:tc>
        <w:tc>
          <w:tcPr>
            <w:tcW w:w="4291" w:type="pct"/>
          </w:tcPr>
          <w:p w:rsidR="00253ECF" w:rsidRDefault="00253ECF" w:rsidP="00986ED9">
            <w:pPr>
              <w:pStyle w:val="steptext"/>
            </w:pPr>
            <w:r>
              <w:t xml:space="preserve">Notice the Interface ID we were just working on opens automatically. The Load Status has been updated to </w:t>
            </w:r>
            <w:r>
              <w:rPr>
                <w:i/>
              </w:rPr>
              <w:t>Replaced</w:t>
            </w:r>
            <w:r>
              <w:t>.</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15" w:name="T13_F3"/>
            <w:bookmarkEnd w:id="15"/>
          </w:p>
        </w:tc>
        <w:tc>
          <w:tcPr>
            <w:tcW w:w="4291" w:type="pct"/>
          </w:tcPr>
          <w:p w:rsidR="00253ECF" w:rsidRDefault="00253ECF" w:rsidP="00986ED9">
            <w:pPr>
              <w:pStyle w:val="steptext"/>
            </w:pPr>
            <w:r>
              <w:t>This concludes the 'AM - Interface ID Load Status Updates' topic. Thank you for taking this course.</w:t>
            </w:r>
          </w:p>
          <w:p w:rsidR="00253ECF" w:rsidRDefault="00253ECF" w:rsidP="00986ED9">
            <w:r w:rsidRPr="002546DF">
              <w:rPr>
                <w:rStyle w:val="highlighttext"/>
                <w:b/>
                <w:sz w:val="22"/>
                <w:szCs w:val="22"/>
              </w:rPr>
              <w:t>End of Procedure.</w:t>
            </w:r>
          </w:p>
        </w:tc>
      </w:tr>
    </w:tbl>
    <w:p w:rsidR="00253ECF" w:rsidRDefault="00253ECF" w:rsidP="00253ECF"/>
    <w:p w:rsidR="00780E53" w:rsidRDefault="00780E53" w:rsidP="00253ECF">
      <w:pPr>
        <w:pStyle w:val="procedure"/>
        <w:spacing w:before="120"/>
        <w:rPr>
          <w:rFonts w:ascii="Calibri" w:hAnsi="Calibri"/>
        </w:rPr>
      </w:pPr>
    </w:p>
    <w:sectPr w:rsidR="00780E53" w:rsidSect="00800E42">
      <w:footerReference w:type="default" r:id="rId3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054D47">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054D47">
      <w:rPr>
        <w:rFonts w:ascii="Calibri" w:hAnsi="Calibri"/>
        <w:b/>
        <w:noProof/>
        <w:sz w:val="20"/>
        <w:szCs w:val="20"/>
      </w:rPr>
      <w:t>6</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8">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42"/>
    <w:rsid w:val="0000092B"/>
    <w:rsid w:val="0001126C"/>
    <w:rsid w:val="000202B3"/>
    <w:rsid w:val="00023121"/>
    <w:rsid w:val="00031167"/>
    <w:rsid w:val="00037422"/>
    <w:rsid w:val="00046D31"/>
    <w:rsid w:val="00054D47"/>
    <w:rsid w:val="00065551"/>
    <w:rsid w:val="00097987"/>
    <w:rsid w:val="000A40AE"/>
    <w:rsid w:val="000B12F4"/>
    <w:rsid w:val="000B70C4"/>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3ECF"/>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06E0B"/>
    <w:rsid w:val="004128EE"/>
    <w:rsid w:val="004443B6"/>
    <w:rsid w:val="00457EAB"/>
    <w:rsid w:val="00466533"/>
    <w:rsid w:val="00477DAF"/>
    <w:rsid w:val="004847C7"/>
    <w:rsid w:val="0049585B"/>
    <w:rsid w:val="004A0B6D"/>
    <w:rsid w:val="004A43A5"/>
    <w:rsid w:val="004C084E"/>
    <w:rsid w:val="004C0BC4"/>
    <w:rsid w:val="004C7AB2"/>
    <w:rsid w:val="004E2570"/>
    <w:rsid w:val="004E60F1"/>
    <w:rsid w:val="00535F16"/>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45417"/>
    <w:rsid w:val="007607AB"/>
    <w:rsid w:val="00780E53"/>
    <w:rsid w:val="00796837"/>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1565"/>
    <w:rsid w:val="008C6EDA"/>
    <w:rsid w:val="008D104C"/>
    <w:rsid w:val="008E5F3A"/>
    <w:rsid w:val="00916A14"/>
    <w:rsid w:val="00934316"/>
    <w:rsid w:val="0094387D"/>
    <w:rsid w:val="00945EAE"/>
    <w:rsid w:val="0096138D"/>
    <w:rsid w:val="009773A3"/>
    <w:rsid w:val="00996C68"/>
    <w:rsid w:val="009A5953"/>
    <w:rsid w:val="009A6EA0"/>
    <w:rsid w:val="009B690D"/>
    <w:rsid w:val="009C75EE"/>
    <w:rsid w:val="009E2F66"/>
    <w:rsid w:val="009E381A"/>
    <w:rsid w:val="00A008BC"/>
    <w:rsid w:val="00A05D98"/>
    <w:rsid w:val="00A94CC5"/>
    <w:rsid w:val="00AC3EA4"/>
    <w:rsid w:val="00AD7F09"/>
    <w:rsid w:val="00AE38EE"/>
    <w:rsid w:val="00AF124A"/>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854FA"/>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oleObject" Target="embeddings/oleObject1.bin"/><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428</Words>
  <Characters>2442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Michelle Dittman</cp:lastModifiedBy>
  <cp:revision>2</cp:revision>
  <cp:lastPrinted>2012-11-27T20:45:00Z</cp:lastPrinted>
  <dcterms:created xsi:type="dcterms:W3CDTF">2015-11-12T16:20:00Z</dcterms:created>
  <dcterms:modified xsi:type="dcterms:W3CDTF">2015-11-12T16:20:00Z</dcterms:modified>
</cp:coreProperties>
</file>